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149D" w14:textId="7AE87B6B" w:rsidR="006D644A" w:rsidRPr="0018025B" w:rsidRDefault="00827739">
      <w:r w:rsidRPr="0018025B">
        <w:rPr>
          <w:noProof/>
        </w:rPr>
        <w:drawing>
          <wp:anchor distT="0" distB="0" distL="114300" distR="114300" simplePos="0" relativeHeight="251658244" behindDoc="1" locked="0" layoutInCell="1" allowOverlap="1" wp14:anchorId="136CE570" wp14:editId="3FE2CD3D">
            <wp:simplePos x="0" y="0"/>
            <wp:positionH relativeFrom="column">
              <wp:posOffset>-888365</wp:posOffset>
            </wp:positionH>
            <wp:positionV relativeFrom="paragraph">
              <wp:posOffset>-1952535</wp:posOffset>
            </wp:positionV>
            <wp:extent cx="7574280" cy="3208655"/>
            <wp:effectExtent l="0" t="0" r="0" b="4445"/>
            <wp:wrapNone/>
            <wp:docPr id="218787480" name="Obrázok 218787480" descr="Ein Bild, das Gebäude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989E7EA5-8ED2-41A0-BEAF-2288066FCA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.04.02_AHK_Hannover_Messe_005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15449" r="8" b="20997"/>
                    <a:stretch/>
                  </pic:blipFill>
                  <pic:spPr bwMode="auto">
                    <a:xfrm>
                      <a:off x="0" y="0"/>
                      <a:ext cx="7574280" cy="3208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C94C3" w14:textId="6102B197" w:rsidR="006D644A" w:rsidRPr="0018025B" w:rsidRDefault="0009122C">
      <w:r w:rsidRPr="0018025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960BA4" wp14:editId="03DA5477">
                <wp:simplePos x="0" y="0"/>
                <wp:positionH relativeFrom="column">
                  <wp:posOffset>1772920</wp:posOffset>
                </wp:positionH>
                <wp:positionV relativeFrom="paragraph">
                  <wp:posOffset>-349635</wp:posOffset>
                </wp:positionV>
                <wp:extent cx="4921885" cy="1417955"/>
                <wp:effectExtent l="0" t="0" r="0" b="0"/>
                <wp:wrapNone/>
                <wp:docPr id="12" name="Obdĺžnik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4DD4D1-5DD2-43C0-A535-33488043C0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885" cy="1417955"/>
                        </a:xfrm>
                        <a:prstGeom prst="rect">
                          <a:avLst/>
                        </a:prstGeom>
                        <a:solidFill>
                          <a:srgbClr val="003366">
                            <a:alpha val="9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B0F1D" id="Obdĺžnik 12" o:spid="_x0000_s1026" style="position:absolute;margin-left:139.6pt;margin-top:-27.55pt;width:387.55pt;height:111.6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ZxjwIAAIEFAAAOAAAAZHJzL2Uyb0RvYy54bWysVMFu2zAMvQ/YPwi6r47TpG2COEWQosOA&#10;oi3aDj0rshQbkEVNUuJkXz9Ksp2uK3YYdpFFkXwkn0kurg+NInthXQ26oPnZiBKhOZS13hb0+8vt&#10;lytKnGe6ZAq0KOhROHq9/Pxp0Zq5GEMFqhSWIIh289YUtPLezLPM8Uo0zJ2BERqVEmzDPIp2m5WW&#10;tYjeqGw8Gl1kLdjSWODCOXy9SUq6jPhSCu4fpHTCE1VQzM3H08ZzE85suWDzrWWmqnmXBvuHLBpW&#10;aww6QN0wz8jO1n9ANTW34ED6Mw5NBlLWXMQasJp89K6a54oZEWtBcpwZaHL/D5bf75/No0UaWuPm&#10;Dq+hioO0TfhifuQQyToOZImDJxwfJ7NxfnU1pYSjLp/kl7PpNNCZndyNdf6rgIaES0Et/o1IEtvf&#10;OZ9Me5MQzYGqy9taqSjY7WatLNmz8OdG5+cXF8lXmYql1xk2QPyDGNIl8xj+NxylA5qGgJtChpfs&#10;VG28+aMSwU7pJyFJXWJ94xguNqIYEmGcC+3zpKpYKVImU0xkyCS0bvCIuUTAgCwx/oDdAfSWCaTH&#10;Tll29sFVxD4enEd/Syw5Dx4xMmg/ODe1BvsRgMKqusjJvicpURNY2kB5fLTEQpoiZ/htjT/2jjn/&#10;yCyODQ4YrgL/gIdU0BYUuhslFdifH70He+xm1FLS4hgW1P3YMSsoUd809vksn0zC3EZhMr0co2Df&#10;ajZvNXrXrAH7JcelY3i8Bnuv+qu00LzixliFqKhimmPsgnJve2Ht03rAncPFahXNcFYN83f62fAA&#10;HlgNjftyeGXWdN3tcTDuoR9ZNn/X5Mk2eGpY7TzIOk7AideOb5zz2DjdTgqL5K0crU6bc/kLAAD/&#10;/wMAUEsDBBQABgAIAAAAIQC8OtJd3wAAAAwBAAAPAAAAZHJzL2Rvd25yZXYueG1sTI/BTsMwDIbv&#10;SLxDZCRuW7pCu600ndAkjhwYIK5pY5qIxClNtoW3JzvBzZY//f7+dpecZSecg/EkYLUsgCENXhka&#10;Bby9Pi02wEKUpKT1hAJ+MMCuu75qZaP8mV7wdIgjyyEUGilAxzg1nIdBo5Nh6SekfPv0s5Mxr/PI&#10;1SzPOdxZXhZFzZ00lD9oOeFe4/B1ODoBiey75f2U1rr+Ds7sn9OH2Qpxe5MeH4BFTPEPhot+Vocu&#10;O/X+SCowK6Bcb8uMClhU1QrYhSiq+ztgfZ7qTQm8a/n/Et0vAAAA//8DAFBLAQItABQABgAIAAAA&#10;IQC2gziS/gAAAOEBAAATAAAAAAAAAAAAAAAAAAAAAABbQ29udGVudF9UeXBlc10ueG1sUEsBAi0A&#10;FAAGAAgAAAAhADj9If/WAAAAlAEAAAsAAAAAAAAAAAAAAAAALwEAAF9yZWxzLy5yZWxzUEsBAi0A&#10;FAAGAAgAAAAhAFlO5nGPAgAAgQUAAA4AAAAAAAAAAAAAAAAALgIAAGRycy9lMm9Eb2MueG1sUEsB&#10;Ai0AFAAGAAgAAAAhALw60l3fAAAADAEAAA8AAAAAAAAAAAAAAAAA6QQAAGRycy9kb3ducmV2Lnht&#10;bFBLBQYAAAAABAAEAPMAAAD1BQAAAAA=&#10;" fillcolor="#036" stroked="f" strokeweight="1pt">
                <v:fill opacity="60395f"/>
              </v:rect>
            </w:pict>
          </mc:Fallback>
        </mc:AlternateContent>
      </w:r>
      <w:r w:rsidRPr="0018025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5219B4" wp14:editId="202F1E6E">
                <wp:simplePos x="0" y="0"/>
                <wp:positionH relativeFrom="column">
                  <wp:posOffset>1910080</wp:posOffset>
                </wp:positionH>
                <wp:positionV relativeFrom="paragraph">
                  <wp:posOffset>-190362</wp:posOffset>
                </wp:positionV>
                <wp:extent cx="4532630" cy="1155700"/>
                <wp:effectExtent l="0" t="0" r="0" b="0"/>
                <wp:wrapNone/>
                <wp:docPr id="13" name="Textové po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64C6F3-61E7-43A6-8703-11770DEFA7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630" cy="115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7BC01" w14:textId="1EDF6308" w:rsidR="00444D8B" w:rsidRPr="001C6175" w:rsidRDefault="00061394" w:rsidP="00DB35C3">
                            <w:pPr>
                              <w:pStyle w:val="AHK-Cover-Headline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C6175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Podmienky účasti</w:t>
                            </w:r>
                            <w:r w:rsidR="00082726" w:rsidRPr="001C6175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F50A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br/>
                            </w:r>
                            <w:r w:rsidR="00A1065A" w:rsidRPr="00343605">
                              <w:rPr>
                                <w:sz w:val="48"/>
                                <w:szCs w:val="48"/>
                              </w:rPr>
                              <w:t>Cena vzdelávania AHK Slowakei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219B4"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26" type="#_x0000_t202" style="position:absolute;margin-left:150.4pt;margin-top:-15pt;width:356.9pt;height:91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HkGAIAAC0EAAAOAAAAZHJzL2Uyb0RvYy54bWysU9uO2yAQfa/Uf0C8N7Zz29aKs0p3lapS&#10;tLtSttpngiG2hBkKJHb69R2wc9G2T1VfYGCGuZxzWNx3jSJHYV0NuqDZKKVEaA5lrfcF/fG6/vSZ&#10;EueZLpkCLQp6Eo7eLz9+WLQmF2OoQJXCEkyiXd6aglbemzxJHK9Ew9wIjNDolGAb5vFo90lpWYvZ&#10;G5WM03SetGBLY4EL5/D2sXfSZcwvpeD+WUonPFEFxd58XG1cd2FNlguW7y0zVc2HNtg/dNGwWmPR&#10;S6pH5hk52PqPVE3NLTiQfsShSUDKmos4A06Tpe+m2VbMiDgLguPMBSb3/9Lyp+PWvFjiu6/QIYEB&#10;kNa43OFlmKeTtgk7dkrQjxCeLrCJzhOOl9PZZDyfoIujL8tms7s0Aptcnxvr/DcBDQlGQS3yEuFi&#10;x43zWBJDzyGhmoZ1rVTkRmnSFnQ+maXxwcWDL5TGh9dmg+W7XTdMsIPyhINZ6Dl3hq9rLL5hzr8w&#10;iyRjwyhc/4yLVIBFYLAoqcD++tt9iEfs0UtJi6IpqPt5YFZQor5rZOVLNp0GlcXDdHY3xoO99exu&#10;PfrQPADqMsMvYng0Q7xXZ1NaaN5Q36tQFV1Mc6xdUH82H3wvZfwfXKxWMQh1ZZjf6K3hIXWAM0D7&#10;2r0xawb8PVL3BGd5sfwdDX1sT8Tq4EHWkaMAcI/qgDtqMlI3/J8g+ttzjLr+8uVvAAAA//8DAFBL&#10;AwQUAAYACAAAACEAt4yWbeIAAAAMAQAADwAAAGRycy9kb3ducmV2LnhtbEyPwW7CMBBE75X6D9Yi&#10;9QY2aUEojYNQJFSpag9QLr058ZJExOs0NpD267uc2tusZjTzNluPrhMXHELrScN8pkAgVd62VGs4&#10;fGynKxAhGrKm84QavjHAOr+/y0xq/ZV2eNnHWnAJhdRoaGLsUylD1aAzYeZ7JPaOfnAm8jnU0g7m&#10;yuWuk4lSS+lMS7zQmB6LBqvT/uw0vBbbd7MrE7f66YqXt+Om/zp8LrR+mIybZxARx/gXhhs+o0PO&#10;TKU/kw2i0/CoFKNHDVNWIG4JNX9agihZLRIFMs/k/yfyXwAAAP//AwBQSwECLQAUAAYACAAAACEA&#10;toM4kv4AAADhAQAAEwAAAAAAAAAAAAAAAAAAAAAAW0NvbnRlbnRfVHlwZXNdLnhtbFBLAQItABQA&#10;BgAIAAAAIQA4/SH/1gAAAJQBAAALAAAAAAAAAAAAAAAAAC8BAABfcmVscy8ucmVsc1BLAQItABQA&#10;BgAIAAAAIQAVPWHkGAIAAC0EAAAOAAAAAAAAAAAAAAAAAC4CAABkcnMvZTJvRG9jLnhtbFBLAQIt&#10;ABQABgAIAAAAIQC3jJZt4gAAAAwBAAAPAAAAAAAAAAAAAAAAAHIEAABkcnMvZG93bnJldi54bWxQ&#10;SwUGAAAAAAQABADzAAAAgQUAAAAA&#10;" filled="f" stroked="f" strokeweight=".5pt">
                <v:textbox>
                  <w:txbxContent>
                    <w:p w14:paraId="11A7BC01" w14:textId="1EDF6308" w:rsidR="00444D8B" w:rsidRPr="001C6175" w:rsidRDefault="00061394" w:rsidP="00DB35C3">
                      <w:pPr>
                        <w:pStyle w:val="AHK-Cover-Headline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1C6175">
                        <w:rPr>
                          <w:b/>
                          <w:bCs/>
                          <w:sz w:val="48"/>
                          <w:szCs w:val="48"/>
                        </w:rPr>
                        <w:t>Podmienky účasti</w:t>
                      </w:r>
                      <w:r w:rsidR="00082726" w:rsidRPr="001C6175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BF50A2">
                        <w:rPr>
                          <w:b/>
                          <w:bCs/>
                          <w:sz w:val="48"/>
                          <w:szCs w:val="48"/>
                        </w:rPr>
                        <w:br/>
                      </w:r>
                      <w:r w:rsidR="00A1065A" w:rsidRPr="00343605">
                        <w:rPr>
                          <w:sz w:val="48"/>
                          <w:szCs w:val="48"/>
                        </w:rPr>
                        <w:t>Cena vzdelávania AHK Slowakei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0393F2DB" w14:textId="77777777" w:rsidR="006D644A" w:rsidRPr="0018025B" w:rsidRDefault="006D644A"/>
    <w:p w14:paraId="5DD87254" w14:textId="77777777" w:rsidR="006D644A" w:rsidRPr="0018025B" w:rsidRDefault="006D644A"/>
    <w:p w14:paraId="53A6F840" w14:textId="77777777" w:rsidR="006D644A" w:rsidRPr="0018025B" w:rsidRDefault="006D644A"/>
    <w:p w14:paraId="478E9321" w14:textId="77777777" w:rsidR="006D644A" w:rsidRPr="0018025B" w:rsidRDefault="006D644A"/>
    <w:p w14:paraId="43AF37B3" w14:textId="77777777" w:rsidR="00444D8B" w:rsidRPr="0018025B" w:rsidRDefault="00F76CE8">
      <w:r w:rsidRPr="0018025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C23032" wp14:editId="45141A34">
                <wp:simplePos x="0" y="0"/>
                <wp:positionH relativeFrom="column">
                  <wp:posOffset>1864059</wp:posOffset>
                </wp:positionH>
                <wp:positionV relativeFrom="paragraph">
                  <wp:posOffset>107091</wp:posOffset>
                </wp:positionV>
                <wp:extent cx="4656569" cy="463550"/>
                <wp:effectExtent l="0" t="0" r="0" b="0"/>
                <wp:wrapNone/>
                <wp:docPr id="15" name="Textové po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0BBAF7-8220-4FEA-A27F-76A34ADE68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6569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513B7" w14:textId="6FA58B29" w:rsidR="00372569" w:rsidRPr="0018025B" w:rsidRDefault="00372569" w:rsidP="00372569">
                            <w:pPr>
                              <w:pStyle w:val="AHK-Cover-Erklrtext"/>
                            </w:pPr>
                            <w:r w:rsidRPr="0018025B">
                              <w:t xml:space="preserve">Termín na podanie </w:t>
                            </w:r>
                            <w:r w:rsidRPr="00302C86">
                              <w:t xml:space="preserve">prihlášky: </w:t>
                            </w:r>
                            <w:r w:rsidR="00446282">
                              <w:t>30. september</w:t>
                            </w:r>
                            <w:r w:rsidR="00302C86">
                              <w:t xml:space="preserve"> 2026</w:t>
                            </w:r>
                          </w:p>
                          <w:p w14:paraId="67922214" w14:textId="57201E21" w:rsidR="00372569" w:rsidRPr="0018025B" w:rsidRDefault="00372569" w:rsidP="00372569">
                            <w:pPr>
                              <w:pStyle w:val="AHK-Cover-Erklrtext"/>
                            </w:pPr>
                            <w:r w:rsidRPr="0018025B">
                              <w:t xml:space="preserve">Vyhlásenie víťazov: </w:t>
                            </w:r>
                            <w:r w:rsidR="00DE62B4">
                              <w:t>19.</w:t>
                            </w:r>
                            <w:r w:rsidR="00214C40">
                              <w:t xml:space="preserve"> </w:t>
                            </w:r>
                            <w:r w:rsidR="00145E85">
                              <w:t>november</w:t>
                            </w:r>
                            <w:r w:rsidR="00214C40">
                              <w:t xml:space="preserve"> </w:t>
                            </w:r>
                            <w:r w:rsidR="00145E85">
                              <w:t>2026</w:t>
                            </w:r>
                            <w:r w:rsidR="00214C40">
                              <w:t xml:space="preserve"> </w:t>
                            </w:r>
                          </w:p>
                          <w:p w14:paraId="1F8736CD" w14:textId="75E8759D" w:rsidR="006439AE" w:rsidRPr="0018025B" w:rsidRDefault="006439AE" w:rsidP="00DB35C3">
                            <w:pPr>
                              <w:pStyle w:val="AHK-Cover-Erklr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C23032" id="Textové pole 15" o:spid="_x0000_s1027" type="#_x0000_t202" style="position:absolute;margin-left:146.8pt;margin-top:8.45pt;width:366.65pt;height:36.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J2GAIAADMEAAAOAAAAZHJzL2Uyb0RvYy54bWysU9tuGyEQfa/Uf0C812u7tpusvI7cRK4q&#10;RUkkp8ozZsGLBAwF7F336zuwvintU1WtxA7MMJdzDvO7zmiyFz4osBUdDYaUCMuhVnZb0R+vq083&#10;lITIbM00WFHRgwj0bvHxw7x1pRhDA7oWnmASG8rWVbSJ0ZVFEXgjDAsDcMKiU4I3LOLWb4vasxaz&#10;G12Mh8NZ0YKvnQcuQsDTh95JFzm/lILHZymDiERXFHuLefV53aS1WMxZufXMNYof22D/0IVhymLR&#10;c6oHFhnZefVHKqO4hwAyDjiYAqRUXOQZcJrR8N0064Y5kWdBcII7wxT+X1r+tF+7F09i9xU6JDAB&#10;0rpQBjxM83TSm/THTgn6EcLDGTbRRcLxcDKb4ndLCUffZPZ5Os24Fpfbzof4TYAhyaioR1oyWmz/&#10;GCJWxNBTSCpmYaW0ztRoS9qKYs5hvnD24A1t8eKl12TFbtMRVV/NsYH6gON56JkPjq8U9vDIQnxh&#10;HqnGiVC+8RkXqQFrwdGipAH/62/nKR4ZQC8lLUqnouHnjnlBif5ukZvb0WSStJY3k+mXMW78tWdz&#10;7bE7cw+ozhE+FMezmeKjPpnSg3lDlS9TVXQxy7F2RePJvI+9oPGVcLFc5iBUl2Px0a4dT6kTqgnh&#10;1+6NeXekISKBT3ASGSvfsdHH9nwsdxGkylQlnHtUj/CjMjODx1eUpH+9z1GXt774DQAA//8DAFBL&#10;AwQUAAYACAAAACEAElWjg98AAAAKAQAADwAAAGRycy9kb3ducmV2LnhtbEyPwU6DQBCG7ya+w2ZM&#10;vNlFjASQpWlIGhOjh9ZevA0wBeLuLLLbFn16l5PeZvJ/+eebYj0bLc40ucGygvtVBIK4se3AnYLD&#10;+/YuBeE8covaMin4Jgfr8vqqwLy1F97Ree87EUrY5aig937MpXRNTwbdyo7EITvayaAP69TJdsJL&#10;KDdaxlGUSIMDhws9jlT11HzuT0bBS7V9w10dm/RHV8+vx834dfh4VOr2Zt48gfA0+z8YFv2gDmVw&#10;qu2JWye0gjh7SAIagiQDsQBRvEy1gjTLQJaF/P9C+QsAAP//AwBQSwECLQAUAAYACAAAACEAtoM4&#10;kv4AAADhAQAAEwAAAAAAAAAAAAAAAAAAAAAAW0NvbnRlbnRfVHlwZXNdLnhtbFBLAQItABQABgAI&#10;AAAAIQA4/SH/1gAAAJQBAAALAAAAAAAAAAAAAAAAAC8BAABfcmVscy8ucmVsc1BLAQItABQABgAI&#10;AAAAIQDNwKJ2GAIAADMEAAAOAAAAAAAAAAAAAAAAAC4CAABkcnMvZTJvRG9jLnhtbFBLAQItABQA&#10;BgAIAAAAIQASVaOD3wAAAAoBAAAPAAAAAAAAAAAAAAAAAHIEAABkcnMvZG93bnJldi54bWxQSwUG&#10;AAAAAAQABADzAAAAfgUAAAAA&#10;" filled="f" stroked="f" strokeweight=".5pt">
                <v:textbox>
                  <w:txbxContent>
                    <w:p w14:paraId="14C513B7" w14:textId="6FA58B29" w:rsidR="00372569" w:rsidRPr="0018025B" w:rsidRDefault="00372569" w:rsidP="00372569">
                      <w:pPr>
                        <w:pStyle w:val="AHK-Cover-Erklrtext"/>
                      </w:pPr>
                      <w:r w:rsidRPr="0018025B">
                        <w:t xml:space="preserve">Termín na podanie </w:t>
                      </w:r>
                      <w:r w:rsidRPr="00302C86">
                        <w:t xml:space="preserve">prihlášky: </w:t>
                      </w:r>
                      <w:r w:rsidR="00446282">
                        <w:t>30. september</w:t>
                      </w:r>
                      <w:r w:rsidR="00302C86">
                        <w:t xml:space="preserve"> 2026</w:t>
                      </w:r>
                    </w:p>
                    <w:p w14:paraId="67922214" w14:textId="57201E21" w:rsidR="00372569" w:rsidRPr="0018025B" w:rsidRDefault="00372569" w:rsidP="00372569">
                      <w:pPr>
                        <w:pStyle w:val="AHK-Cover-Erklrtext"/>
                      </w:pPr>
                      <w:r w:rsidRPr="0018025B">
                        <w:t xml:space="preserve">Vyhlásenie víťazov: </w:t>
                      </w:r>
                      <w:r w:rsidR="00DE62B4">
                        <w:t>19.</w:t>
                      </w:r>
                      <w:r w:rsidR="00214C40">
                        <w:t xml:space="preserve"> </w:t>
                      </w:r>
                      <w:r w:rsidR="00145E85">
                        <w:t>november</w:t>
                      </w:r>
                      <w:r w:rsidR="00214C40">
                        <w:t xml:space="preserve"> </w:t>
                      </w:r>
                      <w:r w:rsidR="00145E85">
                        <w:t>2026</w:t>
                      </w:r>
                      <w:r w:rsidR="00214C40">
                        <w:t xml:space="preserve"> </w:t>
                      </w:r>
                    </w:p>
                    <w:p w14:paraId="1F8736CD" w14:textId="75E8759D" w:rsidR="006439AE" w:rsidRPr="0018025B" w:rsidRDefault="006439AE" w:rsidP="00DB35C3">
                      <w:pPr>
                        <w:pStyle w:val="AHK-Cover-Erklrtext"/>
                      </w:pPr>
                    </w:p>
                  </w:txbxContent>
                </v:textbox>
              </v:shape>
            </w:pict>
          </mc:Fallback>
        </mc:AlternateContent>
      </w:r>
      <w:r w:rsidRPr="0018025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992B908" wp14:editId="3CD168A2">
                <wp:simplePos x="0" y="0"/>
                <wp:positionH relativeFrom="column">
                  <wp:posOffset>1772920</wp:posOffset>
                </wp:positionH>
                <wp:positionV relativeFrom="paragraph">
                  <wp:posOffset>110051</wp:posOffset>
                </wp:positionV>
                <wp:extent cx="4921885" cy="466725"/>
                <wp:effectExtent l="0" t="0" r="5715" b="3175"/>
                <wp:wrapNone/>
                <wp:docPr id="14" name="Obdĺžnik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525530-3A0C-4E38-BB28-FE762CDA20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885" cy="466725"/>
                        </a:xfrm>
                        <a:prstGeom prst="rect">
                          <a:avLst/>
                        </a:prstGeom>
                        <a:solidFill>
                          <a:srgbClr val="3BB18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B1602" id="Obdĺžnik 14" o:spid="_x0000_s1026" style="position:absolute;margin-left:139.6pt;margin-top:8.65pt;width:387.55pt;height:36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DPgQIAAF8FAAAOAAAAZHJzL2Uyb0RvYy54bWysVE1PGzEQvVfqf7B8L5uEBELEBgUQVSVU&#10;UKHi7Hjt7Epejzt2skl/fcfej1CKeqiag2N73ryZeTvjy6t9bdhOoa/A5nx8MuJMWQlFZTc5//58&#10;92nOmQ/CFsKAVTk/KM+vlh8/XDZuoSZQgikUMiKxftG4nJchuEWWeVmqWvgTcMqSUQPWItARN1mB&#10;oiH22mST0egsawALhyCV93R72xr5MvFrrWR40NqrwEzOKbeQVkzrOq7Z8lIsNihcWckuDfEPWdSi&#10;shR0oLoVQbAtVn9Q1ZVE8KDDiYQ6A60rqVINVM149Kaap1I4lWohcbwbZPL/j1Z+3T25RyQZGucX&#10;nraxir3GOv5TfmyfxDoMYql9YJIupxeT8Xw+40ySbXp2dj6ZRTWzo7dDHz4rqFnc5BzpYySNxO7e&#10;hxbaQ2IwD6Yq7ipj0gE36xuDbCfow51eX4/npx37bzBjI9hCdGsZ4012rCXtwsGoiDP2m9KsKij7&#10;ScoktZka4ggplQ3j1lSKQrXhZyP69dFjY0aPVGkijMya4g/cHUGPbEl67jbLDh9dVerSwXn0t8Ra&#10;58EjRQYbBue6soDvERiqqovc4nuRWmmiSmsoDo/IENoZ8U7eVfTd7oUPjwJpKGh8aNDDAy3aQJNz&#10;6HaclYA/37uPeOpVsnLW0JDl3P/YClScmS+WuvhiPJ3GqUyH6ex8Qgd8bVm/tthtfQPUDmN6UpxM&#10;24gPpt9qhPqF3oNVjEomYSXFzrkM2B9uQjv89KJItVolGE2iE+HePjkZyaOqsS+f9y8CXde8gdr+&#10;K/QDKRZverjFRk8Lq20AXaUGP+ra6U1TnBqne3HiM/H6nFDHd3H5CwAA//8DAFBLAwQUAAYACAAA&#10;ACEAJlRlDuEAAAAKAQAADwAAAGRycy9kb3ducmV2LnhtbEyPy07DMBBF90j8gzVIbBC1m7akDXGq&#10;FqlSJTbQx96NhyQiHke2m4S/x13Bbkb36M6ZfD2alvXofGNJwnQigCGVVjdUSTgdd89LYD4o0qq1&#10;hBJ+0MO6uL/LVabtQJ/YH0LFYgn5TEmoQ+gyzn1Zo1F+YjukmH1ZZ1SIq6u4dmqI5abliRAv3KiG&#10;4oVadfhWY/l9uBoJ+/N5MZ1/zLbbnUvf3b6vhuZpI+Xjw7h5BRZwDH8w3PSjOhTR6WKvpD1rJSTp&#10;KoloDNIZsBsgFvM4XSSsxBJ4kfP/LxS/AAAA//8DAFBLAQItABQABgAIAAAAIQC2gziS/gAAAOEB&#10;AAATAAAAAAAAAAAAAAAAAAAAAABbQ29udGVudF9UeXBlc10ueG1sUEsBAi0AFAAGAAgAAAAhADj9&#10;If/WAAAAlAEAAAsAAAAAAAAAAAAAAAAALwEAAF9yZWxzLy5yZWxzUEsBAi0AFAAGAAgAAAAhAO91&#10;4M+BAgAAXwUAAA4AAAAAAAAAAAAAAAAALgIAAGRycy9lMm9Eb2MueG1sUEsBAi0AFAAGAAgAAAAh&#10;ACZUZQ7hAAAACgEAAA8AAAAAAAAAAAAAAAAA2wQAAGRycy9kb3ducmV2LnhtbFBLBQYAAAAABAAE&#10;APMAAADpBQAAAAA=&#10;" fillcolor="#3bb183" stroked="f" strokeweight="1pt"/>
            </w:pict>
          </mc:Fallback>
        </mc:AlternateContent>
      </w:r>
    </w:p>
    <w:p w14:paraId="33F89848" w14:textId="77777777" w:rsidR="00444D8B" w:rsidRPr="0018025B" w:rsidRDefault="00444D8B"/>
    <w:p w14:paraId="62F6DC38" w14:textId="77777777" w:rsidR="00444D8B" w:rsidRPr="0018025B" w:rsidRDefault="00444D8B"/>
    <w:p w14:paraId="336B36EC" w14:textId="77777777" w:rsidR="003C25E7" w:rsidRPr="0018025B" w:rsidRDefault="003C25E7"/>
    <w:p w14:paraId="3326C8C3" w14:textId="77777777" w:rsidR="006439AE" w:rsidRPr="0018025B" w:rsidRDefault="006439AE">
      <w:pPr>
        <w:rPr>
          <w:rFonts w:ascii="Source Sans Pro SemiBold" w:hAnsi="Source Sans Pro SemiBold"/>
          <w:b/>
          <w:bCs/>
          <w:color w:val="3BB183"/>
          <w:sz w:val="32"/>
          <w:szCs w:val="32"/>
        </w:rPr>
      </w:pPr>
    </w:p>
    <w:p w14:paraId="263DA353" w14:textId="77777777" w:rsidR="00444D8B" w:rsidRPr="0018025B" w:rsidRDefault="00444D8B" w:rsidP="00DB35C3">
      <w:pPr>
        <w:pStyle w:val="AHK-Mengentext"/>
        <w:rPr>
          <w:lang w:val="sk-SK"/>
        </w:rPr>
      </w:pPr>
    </w:p>
    <w:p w14:paraId="4F845095" w14:textId="3FA5F023" w:rsidR="005009A5" w:rsidRPr="0018025B" w:rsidRDefault="005009A5" w:rsidP="005009A5">
      <w:pPr>
        <w:spacing w:after="120" w:line="276" w:lineRule="auto"/>
        <w:rPr>
          <w:b/>
          <w:bCs/>
          <w:color w:val="003366"/>
        </w:rPr>
      </w:pPr>
      <w:r w:rsidRPr="0018025B">
        <w:rPr>
          <w:b/>
          <w:bCs/>
          <w:color w:val="003366"/>
        </w:rPr>
        <w:t>1. O súťaži "Cena vzdelávania AHK Slowakei"</w:t>
      </w:r>
    </w:p>
    <w:p w14:paraId="2214434A" w14:textId="1C47A2EC" w:rsidR="005009A5" w:rsidRPr="0018025B" w:rsidRDefault="005009A5" w:rsidP="005009A5">
      <w:pPr>
        <w:spacing w:after="120" w:line="276" w:lineRule="auto"/>
        <w:rPr>
          <w:b/>
          <w:bCs/>
          <w:sz w:val="20"/>
          <w:szCs w:val="20"/>
        </w:rPr>
      </w:pPr>
      <w:r w:rsidRPr="0018025B">
        <w:rPr>
          <w:b/>
          <w:bCs/>
          <w:sz w:val="20"/>
          <w:szCs w:val="20"/>
        </w:rPr>
        <w:t>1.1</w:t>
      </w:r>
      <w:r w:rsidR="00BD0327" w:rsidRPr="0018025B">
        <w:rPr>
          <w:b/>
          <w:bCs/>
          <w:sz w:val="20"/>
          <w:szCs w:val="20"/>
        </w:rPr>
        <w:t>.</w:t>
      </w:r>
      <w:r w:rsidRPr="0018025B">
        <w:rPr>
          <w:b/>
          <w:bCs/>
          <w:sz w:val="20"/>
          <w:szCs w:val="20"/>
        </w:rPr>
        <w:t xml:space="preserve"> Organizátor</w:t>
      </w:r>
    </w:p>
    <w:p w14:paraId="7E663B94" w14:textId="7DC9522F" w:rsidR="005009A5" w:rsidRPr="0018025B" w:rsidRDefault="005009A5" w:rsidP="005009A5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 xml:space="preserve">Organizátorom súťaže Cena vzdelávania AHK Slowakei je Slovensko-nemecká obchodná a priemyselná komora. </w:t>
      </w:r>
      <w:r w:rsidR="00AC4035">
        <w:rPr>
          <w:sz w:val="20"/>
          <w:szCs w:val="20"/>
        </w:rPr>
        <w:t>Zastrešujúci partnerom ceny je spoločnosť Schaeffler Slovensko</w:t>
      </w:r>
      <w:r w:rsidR="005F484E">
        <w:rPr>
          <w:sz w:val="20"/>
          <w:szCs w:val="20"/>
        </w:rPr>
        <w:t>, partner</w:t>
      </w:r>
      <w:r w:rsidR="00996427">
        <w:rPr>
          <w:sz w:val="20"/>
          <w:szCs w:val="20"/>
        </w:rPr>
        <w:t>mi sú dm drogerie</w:t>
      </w:r>
      <w:r w:rsidR="00090A12">
        <w:rPr>
          <w:sz w:val="20"/>
          <w:szCs w:val="20"/>
        </w:rPr>
        <w:t xml:space="preserve"> </w:t>
      </w:r>
      <w:r w:rsidR="00996427">
        <w:rPr>
          <w:sz w:val="20"/>
          <w:szCs w:val="20"/>
        </w:rPr>
        <w:t>markt a MAN Components</w:t>
      </w:r>
      <w:r w:rsidR="00090A12">
        <w:rPr>
          <w:sz w:val="20"/>
          <w:szCs w:val="20"/>
        </w:rPr>
        <w:t>.</w:t>
      </w:r>
    </w:p>
    <w:p w14:paraId="3308AAD5" w14:textId="03420A76" w:rsidR="005009A5" w:rsidRPr="0018025B" w:rsidRDefault="005009A5" w:rsidP="005009A5">
      <w:pPr>
        <w:spacing w:after="120" w:line="276" w:lineRule="auto"/>
        <w:rPr>
          <w:b/>
          <w:bCs/>
          <w:sz w:val="20"/>
          <w:szCs w:val="20"/>
        </w:rPr>
      </w:pPr>
      <w:r w:rsidRPr="0018025B">
        <w:rPr>
          <w:b/>
          <w:bCs/>
          <w:sz w:val="20"/>
          <w:szCs w:val="20"/>
        </w:rPr>
        <w:t>1.2</w:t>
      </w:r>
      <w:r w:rsidR="00BD0327" w:rsidRPr="0018025B">
        <w:rPr>
          <w:b/>
          <w:bCs/>
          <w:sz w:val="20"/>
          <w:szCs w:val="20"/>
        </w:rPr>
        <w:t>.</w:t>
      </w:r>
      <w:r w:rsidRPr="0018025B">
        <w:rPr>
          <w:b/>
          <w:bCs/>
          <w:sz w:val="20"/>
          <w:szCs w:val="20"/>
        </w:rPr>
        <w:t xml:space="preserve"> Účel udelenia ceny</w:t>
      </w:r>
    </w:p>
    <w:p w14:paraId="6E8E6FD6" w14:textId="01EE9AA3" w:rsidR="005009A5" w:rsidRPr="00025871" w:rsidRDefault="005009A5" w:rsidP="005009A5">
      <w:pPr>
        <w:spacing w:after="120" w:line="276" w:lineRule="auto"/>
        <w:rPr>
          <w:sz w:val="20"/>
          <w:szCs w:val="20"/>
        </w:rPr>
      </w:pPr>
      <w:r w:rsidRPr="00025871">
        <w:rPr>
          <w:sz w:val="20"/>
          <w:szCs w:val="20"/>
        </w:rPr>
        <w:t xml:space="preserve">a) </w:t>
      </w:r>
      <w:r w:rsidR="001740FE" w:rsidRPr="00025871">
        <w:rPr>
          <w:sz w:val="20"/>
          <w:szCs w:val="20"/>
        </w:rPr>
        <w:t xml:space="preserve">Zámerom iniciatívy je oceniť výnimočné vzdelávacie projekty a iniciatívy na Slovensku, ktoré </w:t>
      </w:r>
      <w:r w:rsidR="007F13A0">
        <w:rPr>
          <w:sz w:val="20"/>
          <w:szCs w:val="20"/>
        </w:rPr>
        <w:t xml:space="preserve">predstavujú </w:t>
      </w:r>
      <w:r w:rsidR="001740FE" w:rsidRPr="00025871">
        <w:rPr>
          <w:sz w:val="20"/>
          <w:szCs w:val="20"/>
        </w:rPr>
        <w:t>konkrétny prínos pre prax a môžu slúžiť ako inšpirácia pre ostatných.</w:t>
      </w:r>
    </w:p>
    <w:p w14:paraId="6965695D" w14:textId="0D5E571D" w:rsidR="005009A5" w:rsidRPr="00025871" w:rsidRDefault="005009A5" w:rsidP="005009A5">
      <w:pPr>
        <w:spacing w:after="120" w:line="276" w:lineRule="auto"/>
        <w:rPr>
          <w:sz w:val="20"/>
          <w:szCs w:val="20"/>
        </w:rPr>
      </w:pPr>
      <w:r w:rsidRPr="00025871">
        <w:rPr>
          <w:sz w:val="20"/>
          <w:szCs w:val="20"/>
        </w:rPr>
        <w:t xml:space="preserve">b) </w:t>
      </w:r>
      <w:r w:rsidR="00963B24" w:rsidRPr="00025871">
        <w:rPr>
          <w:sz w:val="20"/>
          <w:szCs w:val="20"/>
        </w:rPr>
        <w:t>Cena zároveň motivuje zamestnávateľov –</w:t>
      </w:r>
      <w:r w:rsidR="007F13A0">
        <w:rPr>
          <w:sz w:val="20"/>
          <w:szCs w:val="20"/>
        </w:rPr>
        <w:t xml:space="preserve"> </w:t>
      </w:r>
      <w:r w:rsidR="00963B24" w:rsidRPr="00025871">
        <w:rPr>
          <w:sz w:val="20"/>
          <w:szCs w:val="20"/>
        </w:rPr>
        <w:t>k tvorbe a realizácii inovatívnych projektov v oblasti odborného a ďalšieho vzdelávania.</w:t>
      </w:r>
    </w:p>
    <w:p w14:paraId="7C1E0FBE" w14:textId="5BA1930C" w:rsidR="00444D8B" w:rsidRPr="00025871" w:rsidRDefault="005009A5" w:rsidP="00C3597F">
      <w:pPr>
        <w:spacing w:after="120" w:line="276" w:lineRule="auto"/>
        <w:rPr>
          <w:sz w:val="20"/>
          <w:szCs w:val="20"/>
        </w:rPr>
      </w:pPr>
      <w:r w:rsidRPr="00025871">
        <w:rPr>
          <w:sz w:val="20"/>
          <w:szCs w:val="20"/>
        </w:rPr>
        <w:t xml:space="preserve">c) </w:t>
      </w:r>
      <w:r w:rsidR="00963B24" w:rsidRPr="00025871">
        <w:rPr>
          <w:sz w:val="20"/>
          <w:szCs w:val="20"/>
        </w:rPr>
        <w:t>Dôležitým cieľom je aj podporiť odbornú diskusiu a zdieľanie skúseností medzi zamestnávateľmi, vrátane prezentácie úspešných riešení a osvedčených prístupov z praxe.</w:t>
      </w:r>
    </w:p>
    <w:p w14:paraId="195E4661" w14:textId="3A2C493D" w:rsidR="00963B24" w:rsidRPr="00025871" w:rsidRDefault="00025871" w:rsidP="00C3597F">
      <w:pPr>
        <w:spacing w:after="120" w:line="276" w:lineRule="auto"/>
        <w:rPr>
          <w:sz w:val="20"/>
          <w:szCs w:val="20"/>
        </w:rPr>
      </w:pPr>
      <w:r w:rsidRPr="00025871">
        <w:rPr>
          <w:sz w:val="20"/>
          <w:szCs w:val="20"/>
        </w:rPr>
        <w:t>d) Súčasťou iniciatívy je aj snaha predstaviť nové povolania, technológie a inovatívne prístupy vo vzdelávaní, ktoré reflektujú meniace sa potreby trhu práce.</w:t>
      </w:r>
    </w:p>
    <w:p w14:paraId="217DB900" w14:textId="1797F25D" w:rsidR="004F5B63" w:rsidRPr="0018025B" w:rsidRDefault="004F5B63" w:rsidP="004F5B63">
      <w:pPr>
        <w:spacing w:after="120" w:line="276" w:lineRule="auto"/>
        <w:rPr>
          <w:b/>
          <w:bCs/>
          <w:sz w:val="20"/>
          <w:szCs w:val="20"/>
        </w:rPr>
      </w:pPr>
      <w:r w:rsidRPr="0018025B">
        <w:rPr>
          <w:b/>
          <w:bCs/>
          <w:sz w:val="20"/>
          <w:szCs w:val="20"/>
        </w:rPr>
        <w:t>1.3</w:t>
      </w:r>
      <w:r w:rsidR="00BD0327" w:rsidRPr="0018025B">
        <w:rPr>
          <w:b/>
          <w:bCs/>
          <w:sz w:val="20"/>
          <w:szCs w:val="20"/>
        </w:rPr>
        <w:t>.</w:t>
      </w:r>
      <w:r w:rsidRPr="0018025B">
        <w:rPr>
          <w:b/>
          <w:bCs/>
          <w:sz w:val="20"/>
          <w:szCs w:val="20"/>
        </w:rPr>
        <w:t xml:space="preserve"> Kategórie</w:t>
      </w:r>
    </w:p>
    <w:p w14:paraId="6F2EF3F0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a) Cena sa bude udeľovať v nasledovných kategóriách:</w:t>
      </w:r>
    </w:p>
    <w:p w14:paraId="77512E34" w14:textId="63A8C725" w:rsidR="004F5B63" w:rsidRPr="0018025B" w:rsidRDefault="00AC4035" w:rsidP="004F5B63">
      <w:pPr>
        <w:numPr>
          <w:ilvl w:val="0"/>
          <w:numId w:val="1"/>
        </w:numPr>
        <w:shd w:val="clear" w:color="auto" w:fill="FFFFFF"/>
        <w:spacing w:before="75" w:after="75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Ú</w:t>
      </w:r>
      <w:r w:rsidR="004F5B63" w:rsidRPr="0018025B">
        <w:rPr>
          <w:sz w:val="20"/>
          <w:szCs w:val="20"/>
        </w:rPr>
        <w:t>spešný príbeh</w:t>
      </w:r>
    </w:p>
    <w:p w14:paraId="00667003" w14:textId="0442E4D3" w:rsidR="004F5B63" w:rsidRPr="0018025B" w:rsidRDefault="00AC4035" w:rsidP="004F5B63">
      <w:pPr>
        <w:numPr>
          <w:ilvl w:val="0"/>
          <w:numId w:val="1"/>
        </w:numPr>
        <w:shd w:val="clear" w:color="auto" w:fill="FFFFFF"/>
        <w:spacing w:before="75" w:after="75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V</w:t>
      </w:r>
      <w:r w:rsidR="004F5B63" w:rsidRPr="0018025B">
        <w:rPr>
          <w:sz w:val="20"/>
          <w:szCs w:val="20"/>
        </w:rPr>
        <w:t>ýzvy</w:t>
      </w:r>
    </w:p>
    <w:p w14:paraId="74E3E4F3" w14:textId="7724E714" w:rsidR="004F5B63" w:rsidRPr="0018025B" w:rsidRDefault="00AC4035" w:rsidP="004F5B63">
      <w:pPr>
        <w:numPr>
          <w:ilvl w:val="0"/>
          <w:numId w:val="1"/>
        </w:numPr>
        <w:shd w:val="clear" w:color="auto" w:fill="FFFFFF"/>
        <w:spacing w:before="75" w:after="75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S</w:t>
      </w:r>
      <w:r w:rsidR="004F5B63" w:rsidRPr="0018025B">
        <w:rPr>
          <w:sz w:val="20"/>
          <w:szCs w:val="20"/>
        </w:rPr>
        <w:t>tart-up</w:t>
      </w:r>
    </w:p>
    <w:p w14:paraId="721F8B1D" w14:textId="5A47D0EC" w:rsidR="004F5B63" w:rsidRPr="00620327" w:rsidRDefault="00214C40" w:rsidP="00620327">
      <w:pPr>
        <w:numPr>
          <w:ilvl w:val="0"/>
          <w:numId w:val="1"/>
        </w:numPr>
        <w:shd w:val="clear" w:color="auto" w:fill="FFFFFF"/>
        <w:spacing w:before="75" w:after="75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M</w:t>
      </w:r>
      <w:r w:rsidR="004F5B63" w:rsidRPr="0018025B">
        <w:rPr>
          <w:sz w:val="20"/>
          <w:szCs w:val="20"/>
        </w:rPr>
        <w:t>imoriadna cena AHK</w:t>
      </w:r>
    </w:p>
    <w:p w14:paraId="3F28C288" w14:textId="759CE68B" w:rsidR="004F5B63" w:rsidRPr="0018025B" w:rsidRDefault="00620327" w:rsidP="004F5B63">
      <w:pPr>
        <w:spacing w:after="120" w:line="276" w:lineRule="auto"/>
        <w:rPr>
          <w:b/>
          <w:bCs/>
          <w:color w:val="003366"/>
        </w:rPr>
      </w:pPr>
      <w:r>
        <w:rPr>
          <w:b/>
          <w:bCs/>
          <w:color w:val="003366"/>
        </w:rPr>
        <w:br/>
      </w:r>
      <w:r w:rsidR="004F5B63" w:rsidRPr="0018025B">
        <w:rPr>
          <w:b/>
          <w:bCs/>
          <w:color w:val="003366"/>
        </w:rPr>
        <w:t>2. Kto sa môže uchádzať o cenu?</w:t>
      </w:r>
    </w:p>
    <w:p w14:paraId="19BBC3EF" w14:textId="70078BC6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2.1</w:t>
      </w:r>
      <w:r w:rsidR="00BD0327" w:rsidRPr="0018025B">
        <w:rPr>
          <w:sz w:val="20"/>
          <w:szCs w:val="20"/>
        </w:rPr>
        <w:t>.</w:t>
      </w:r>
      <w:r w:rsidRPr="0018025B">
        <w:rPr>
          <w:sz w:val="20"/>
          <w:szCs w:val="20"/>
        </w:rPr>
        <w:t xml:space="preserve"> O Cenu vzdelávania AHK Slowakei sa môžu uchádzať zamestnávatelia a poskytovatelia odborného </w:t>
      </w:r>
      <w:r w:rsidR="00620327">
        <w:rPr>
          <w:sz w:val="20"/>
          <w:szCs w:val="20"/>
        </w:rPr>
        <w:t xml:space="preserve">a ďalšieho </w:t>
      </w:r>
      <w:r w:rsidRPr="0018025B">
        <w:rPr>
          <w:sz w:val="20"/>
          <w:szCs w:val="20"/>
        </w:rPr>
        <w:t>vzdelávania so sídlom na Slovensku. Členstvo v Slovensko-nemeckej obchodnej a priemyselnej komore nie je podmienkou účasti.</w:t>
      </w:r>
    </w:p>
    <w:p w14:paraId="53586A36" w14:textId="2B09BF3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lastRenderedPageBreak/>
        <w:t>2.2</w:t>
      </w:r>
      <w:r w:rsidR="00BD0327" w:rsidRPr="0018025B">
        <w:rPr>
          <w:sz w:val="20"/>
          <w:szCs w:val="20"/>
        </w:rPr>
        <w:t>.</w:t>
      </w:r>
      <w:r w:rsidRPr="0018025B">
        <w:rPr>
          <w:sz w:val="20"/>
          <w:szCs w:val="20"/>
        </w:rPr>
        <w:t xml:space="preserve"> Ak projekt realizuje/realizovalo viac ako jeden zamestnávateľ, poskytovateľ, musí byť určený jeden účastník, ktorý projekt predloží aj v mene ostatných prispievateľov.</w:t>
      </w:r>
    </w:p>
    <w:p w14:paraId="01EF70EA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</w:p>
    <w:p w14:paraId="59CB6592" w14:textId="77777777" w:rsidR="004F5B63" w:rsidRPr="0018025B" w:rsidRDefault="004F5B63" w:rsidP="004F5B63">
      <w:pPr>
        <w:spacing w:after="120" w:line="276" w:lineRule="auto"/>
        <w:rPr>
          <w:b/>
          <w:bCs/>
          <w:color w:val="003366"/>
        </w:rPr>
      </w:pPr>
      <w:r w:rsidRPr="0018025B">
        <w:rPr>
          <w:b/>
          <w:bCs/>
          <w:color w:val="003366"/>
        </w:rPr>
        <w:t>3. Aké projekty sa môžu uchádzať?</w:t>
      </w:r>
    </w:p>
    <w:p w14:paraId="6B048474" w14:textId="49C0B09A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 xml:space="preserve">3.1. Projekty by mali zahŕňať praktické riešenia, nástroje a iniciatívy, ktoré zvyšujú prestíž, kvalitu a efektívnosť vzdelávania na Slovensku. </w:t>
      </w:r>
    </w:p>
    <w:p w14:paraId="275A54FF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 xml:space="preserve">3.2. Účastníci sa môžu prihlásiť s projektmi, ktoré sa začali realizovať v minulých rokoch, a aj s projektmi, ktoré ešte neboli ukončené. </w:t>
      </w:r>
    </w:p>
    <w:p w14:paraId="4F7B820B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3.3. Predkladať možno aj projekty, ktoré sa už zúčastnili v iných súťažiach.</w:t>
      </w:r>
    </w:p>
    <w:p w14:paraId="5038BDCE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3.4. Každý účastník môže predložiť len jeden projekt v každej kategórii, pričom celkovo môže predložiť maximálne tri projekty. Za každú kategóriu je potrebné vyplniť novú prihlášku. Projekt môže byť predložený len v jednej kategórii. Porota si vyhradzuje právo odporučiť účastníkovi, aby si v prípade potreby vybral inú kategóriu.</w:t>
      </w:r>
    </w:p>
    <w:p w14:paraId="2BD67190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3.5. Prihlásenie do súťaže nezakladá právo na prijatie a hodnotenie žiadosti.</w:t>
      </w:r>
    </w:p>
    <w:p w14:paraId="5CCF601A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</w:p>
    <w:p w14:paraId="1AA6A787" w14:textId="77777777" w:rsidR="004F5B63" w:rsidRPr="0018025B" w:rsidRDefault="004F5B63" w:rsidP="004F5B63">
      <w:pPr>
        <w:spacing w:after="120" w:line="276" w:lineRule="auto"/>
        <w:rPr>
          <w:b/>
          <w:bCs/>
          <w:color w:val="003366"/>
        </w:rPr>
      </w:pPr>
      <w:r w:rsidRPr="0018025B">
        <w:rPr>
          <w:b/>
          <w:bCs/>
          <w:color w:val="003366"/>
        </w:rPr>
        <w:t>4. Zásady</w:t>
      </w:r>
    </w:p>
    <w:p w14:paraId="0675B6F8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4.1. Účasťou na výberovom konaní nevzniká medzi účastníkom a AHK Slowakei žiadny právny vzťah.</w:t>
      </w:r>
    </w:p>
    <w:p w14:paraId="6CF90229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4.2. Účastník sa zaväzuje poskytnúť pravdivé informácie o svojej organizácii a predloženom projekte.</w:t>
      </w:r>
    </w:p>
    <w:p w14:paraId="27D4D655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 xml:space="preserve">4.3. Projekt a podklady k prihláške nesmú obsahovať žiadne nepravdivé, zavádzajúce alebo urážlivé prvky, ani prvky, ktoré porušujú právne predpisy (napr. trestný zákon, autorský zákon, zákon o hospodárskej súťaži) alebo porušujú práva tretích osôb alebo ľudskú dôstojnosť. </w:t>
      </w:r>
    </w:p>
    <w:p w14:paraId="2B2F4309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Organizátor môže žiadosti s takýmto obsahom zo súťaže vylúčiť.</w:t>
      </w:r>
    </w:p>
    <w:p w14:paraId="4F2B8709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4.4. Za obsah a údaje uvedené v prihláškach a dokumentácii zodpovedajú výlučne samotní uchádzači.</w:t>
      </w:r>
    </w:p>
    <w:p w14:paraId="1197B358" w14:textId="79CF7F85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 xml:space="preserve">4.5. AHK Slowakei účastníkom nevracia žiadnu dokumentáciu, ktorú </w:t>
      </w:r>
      <w:r w:rsidR="00C734E4" w:rsidRPr="0018025B">
        <w:rPr>
          <w:sz w:val="20"/>
          <w:szCs w:val="20"/>
        </w:rPr>
        <w:t>jej</w:t>
      </w:r>
      <w:r w:rsidRPr="0018025B">
        <w:rPr>
          <w:sz w:val="20"/>
          <w:szCs w:val="20"/>
        </w:rPr>
        <w:t xml:space="preserve"> poskytli v priebehu výberového konania.</w:t>
      </w:r>
    </w:p>
    <w:p w14:paraId="0B80BC23" w14:textId="77777777" w:rsidR="00C3597F" w:rsidRPr="0018025B" w:rsidRDefault="00C3597F" w:rsidP="004F5B63">
      <w:pPr>
        <w:spacing w:after="120" w:line="276" w:lineRule="auto"/>
        <w:rPr>
          <w:sz w:val="20"/>
          <w:szCs w:val="20"/>
        </w:rPr>
      </w:pPr>
    </w:p>
    <w:p w14:paraId="03C7F5D6" w14:textId="77777777" w:rsidR="004F5B63" w:rsidRPr="0018025B" w:rsidRDefault="004F5B63" w:rsidP="004F5B63">
      <w:pPr>
        <w:spacing w:after="120" w:line="276" w:lineRule="auto"/>
        <w:rPr>
          <w:b/>
          <w:bCs/>
          <w:color w:val="003366"/>
        </w:rPr>
      </w:pPr>
      <w:r w:rsidRPr="0018025B">
        <w:rPr>
          <w:b/>
          <w:bCs/>
          <w:color w:val="003366"/>
        </w:rPr>
        <w:t>5. Proces podávania žiadostí</w:t>
      </w:r>
    </w:p>
    <w:p w14:paraId="1B8C10AD" w14:textId="72E0408E" w:rsidR="00AF1C1E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5.1. Fázy postupu</w:t>
      </w:r>
    </w:p>
    <w:p w14:paraId="04BEA9C4" w14:textId="31FA5E8E" w:rsidR="004F5B63" w:rsidRPr="0018025B" w:rsidRDefault="004F5B63" w:rsidP="004F5B63">
      <w:pPr>
        <w:spacing w:after="120" w:line="276" w:lineRule="auto"/>
        <w:rPr>
          <w:b/>
          <w:bCs/>
          <w:sz w:val="20"/>
          <w:szCs w:val="20"/>
        </w:rPr>
      </w:pPr>
      <w:r w:rsidRPr="0018025B">
        <w:rPr>
          <w:b/>
          <w:bCs/>
          <w:sz w:val="20"/>
          <w:szCs w:val="20"/>
        </w:rPr>
        <w:t xml:space="preserve">Fáza 1: </w:t>
      </w:r>
      <w:r w:rsidR="00A90871" w:rsidRPr="00024B28">
        <w:rPr>
          <w:b/>
          <w:bCs/>
          <w:sz w:val="20"/>
          <w:szCs w:val="20"/>
        </w:rPr>
        <w:t xml:space="preserve">do </w:t>
      </w:r>
      <w:r w:rsidR="00EC2113">
        <w:rPr>
          <w:b/>
          <w:bCs/>
          <w:sz w:val="20"/>
          <w:szCs w:val="20"/>
        </w:rPr>
        <w:t xml:space="preserve">30. septembra </w:t>
      </w:r>
      <w:r w:rsidR="00A90871" w:rsidRPr="00024B28">
        <w:rPr>
          <w:b/>
          <w:bCs/>
          <w:sz w:val="20"/>
          <w:szCs w:val="20"/>
        </w:rPr>
        <w:t>2026</w:t>
      </w:r>
      <w:r w:rsidRPr="00024B28">
        <w:rPr>
          <w:b/>
          <w:bCs/>
          <w:sz w:val="20"/>
          <w:szCs w:val="20"/>
        </w:rPr>
        <w:t>.</w:t>
      </w:r>
    </w:p>
    <w:p w14:paraId="4EE05B18" w14:textId="45159022" w:rsidR="00264DA6" w:rsidRDefault="004F5B63" w:rsidP="00264DA6">
      <w:pPr>
        <w:pStyle w:val="ListParagraph"/>
        <w:spacing w:after="120" w:line="276" w:lineRule="auto"/>
        <w:ind w:left="0"/>
        <w:rPr>
          <w:rFonts w:ascii="Source Sans Pro" w:eastAsiaTheme="minorHAnsi" w:hAnsi="Source Sans Pro" w:cs="Times New Roman (TextkA�rper CS"/>
          <w:sz w:val="20"/>
          <w:szCs w:val="20"/>
        </w:rPr>
      </w:pPr>
      <w:r w:rsidRPr="00264DA6">
        <w:rPr>
          <w:rFonts w:ascii="Source Sans Pro" w:eastAsiaTheme="minorHAnsi" w:hAnsi="Source Sans Pro" w:cs="Times New Roman (TextkA�rper CS"/>
          <w:sz w:val="20"/>
          <w:szCs w:val="20"/>
        </w:rPr>
        <w:t>Účastníci predkladajú svoje žiadosti</w:t>
      </w:r>
      <w:r w:rsidR="000277F6" w:rsidRPr="00264DA6">
        <w:rPr>
          <w:rFonts w:ascii="Source Sans Pro" w:eastAsiaTheme="minorHAnsi" w:hAnsi="Source Sans Pro" w:cs="Times New Roman (TextkA�rper CS"/>
          <w:sz w:val="20"/>
          <w:szCs w:val="20"/>
        </w:rPr>
        <w:t xml:space="preserve"> prostredníctvom </w:t>
      </w:r>
      <w:r w:rsidR="00264DA6" w:rsidRPr="00264DA6">
        <w:rPr>
          <w:rFonts w:ascii="Source Sans Pro" w:eastAsiaTheme="minorHAnsi" w:hAnsi="Source Sans Pro" w:cs="Times New Roman (TextkA�rper CS"/>
          <w:sz w:val="20"/>
          <w:szCs w:val="20"/>
        </w:rPr>
        <w:t xml:space="preserve">prihlasovacieho formulára – online. </w:t>
      </w:r>
      <w:r w:rsidRPr="00264DA6">
        <w:rPr>
          <w:rFonts w:ascii="Source Sans Pro" w:eastAsiaTheme="minorHAnsi" w:hAnsi="Source Sans Pro" w:cs="Times New Roman (TextkA�rper CS"/>
          <w:sz w:val="20"/>
          <w:szCs w:val="20"/>
        </w:rPr>
        <w:t xml:space="preserve"> K</w:t>
      </w:r>
      <w:r w:rsidR="00264DA6" w:rsidRPr="00264DA6">
        <w:rPr>
          <w:rFonts w:ascii="Source Sans Pro" w:eastAsiaTheme="minorHAnsi" w:hAnsi="Source Sans Pro" w:cs="Times New Roman (TextkA�rper CS"/>
          <w:sz w:val="20"/>
          <w:szCs w:val="20"/>
        </w:rPr>
        <w:t> </w:t>
      </w:r>
      <w:r w:rsidRPr="00264DA6">
        <w:rPr>
          <w:rFonts w:ascii="Source Sans Pro" w:eastAsiaTheme="minorHAnsi" w:hAnsi="Source Sans Pro" w:cs="Times New Roman (TextkA�rper CS"/>
          <w:sz w:val="20"/>
          <w:szCs w:val="20"/>
        </w:rPr>
        <w:t>žiadostiam</w:t>
      </w:r>
      <w:r w:rsidR="00264DA6" w:rsidRPr="00264DA6">
        <w:rPr>
          <w:rFonts w:ascii="Source Sans Pro" w:eastAsiaTheme="minorHAnsi" w:hAnsi="Source Sans Pro" w:cs="Times New Roman (TextkA�rper CS"/>
          <w:sz w:val="20"/>
          <w:szCs w:val="20"/>
        </w:rPr>
        <w:t xml:space="preserve"> môžu</w:t>
      </w:r>
      <w:r w:rsidRPr="00264DA6">
        <w:rPr>
          <w:rFonts w:ascii="Source Sans Pro" w:eastAsiaTheme="minorHAnsi" w:hAnsi="Source Sans Pro" w:cs="Times New Roman (TextkA�rper CS"/>
          <w:sz w:val="20"/>
          <w:szCs w:val="20"/>
        </w:rPr>
        <w:t xml:space="preserve"> byť priložené </w:t>
      </w:r>
      <w:r w:rsidR="00264DA6" w:rsidRPr="009A267C">
        <w:rPr>
          <w:rFonts w:ascii="Source Sans Pro" w:eastAsiaTheme="minorHAnsi" w:hAnsi="Source Sans Pro" w:cs="Times New Roman (TextkA�rper CS"/>
          <w:sz w:val="20"/>
          <w:szCs w:val="20"/>
        </w:rPr>
        <w:t>ďalšie dokumenty, ako sú prezentácie, webové stránky, brožúry, novinové články. Pri nahratí viacerých dokumentov je nutné nahrať ich zazipované</w:t>
      </w:r>
      <w:r w:rsidR="00264DA6">
        <w:rPr>
          <w:rFonts w:ascii="Source Sans Pro" w:eastAsiaTheme="minorHAnsi" w:hAnsi="Source Sans Pro" w:cs="Times New Roman (TextkA�rper CS"/>
          <w:sz w:val="20"/>
          <w:szCs w:val="20"/>
        </w:rPr>
        <w:t>.</w:t>
      </w:r>
      <w:r w:rsidR="00513A85">
        <w:rPr>
          <w:rFonts w:ascii="Source Sans Pro" w:eastAsiaTheme="minorHAnsi" w:hAnsi="Source Sans Pro" w:cs="Times New Roman (TextkA�rper CS"/>
          <w:sz w:val="20"/>
          <w:szCs w:val="20"/>
        </w:rPr>
        <w:t xml:space="preserve"> </w:t>
      </w:r>
    </w:p>
    <w:p w14:paraId="4B646AA8" w14:textId="64D4FE41" w:rsidR="00EA26D0" w:rsidRPr="00C904FE" w:rsidRDefault="00EA26D0" w:rsidP="00A90871">
      <w:pPr>
        <w:rPr>
          <w:sz w:val="20"/>
          <w:szCs w:val="20"/>
        </w:rPr>
      </w:pPr>
      <w:r w:rsidRPr="00EA26D0">
        <w:rPr>
          <w:sz w:val="20"/>
          <w:szCs w:val="20"/>
        </w:rPr>
        <w:t>Žiadosť o zaradenie do súťaže možno podať aj mailom - zaslaním vyplneného PD</w:t>
      </w:r>
      <w:r>
        <w:rPr>
          <w:sz w:val="20"/>
          <w:szCs w:val="20"/>
        </w:rPr>
        <w:t>F</w:t>
      </w:r>
      <w:r w:rsidRPr="00EA26D0">
        <w:rPr>
          <w:sz w:val="20"/>
          <w:szCs w:val="20"/>
        </w:rPr>
        <w:t xml:space="preserve"> formulára</w:t>
      </w:r>
      <w:r>
        <w:rPr>
          <w:sz w:val="20"/>
          <w:szCs w:val="20"/>
        </w:rPr>
        <w:t xml:space="preserve">. </w:t>
      </w:r>
      <w:r w:rsidR="00BB2944">
        <w:rPr>
          <w:sz w:val="20"/>
          <w:szCs w:val="20"/>
        </w:rPr>
        <w:t>(K stiahnutiu na hlavnej stránke)</w:t>
      </w:r>
      <w:r w:rsidRPr="00EA26D0">
        <w:rPr>
          <w:sz w:val="20"/>
          <w:szCs w:val="20"/>
        </w:rPr>
        <w:t xml:space="preserve"> </w:t>
      </w:r>
      <w:r w:rsidR="00A90871">
        <w:rPr>
          <w:sz w:val="20"/>
          <w:szCs w:val="20"/>
        </w:rPr>
        <w:br/>
      </w:r>
    </w:p>
    <w:p w14:paraId="30D181FA" w14:textId="5A5FB399" w:rsidR="00AF1C1E" w:rsidRPr="004E03F3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Organizátor skontroluje úplnosť a obsah predložených žiadostí. AHK Slowakei môže v prípade potreby požiadať o doplňujúce informácie. Uchádzači budú o prijatí žiadosti informovaní písomne (e-mailom).</w:t>
      </w:r>
    </w:p>
    <w:p w14:paraId="3261A4DB" w14:textId="38DFD621" w:rsidR="004F5B63" w:rsidRPr="0018025B" w:rsidRDefault="004F5B63" w:rsidP="004F5B63">
      <w:pPr>
        <w:spacing w:after="120" w:line="276" w:lineRule="auto"/>
        <w:rPr>
          <w:b/>
          <w:bCs/>
          <w:sz w:val="20"/>
          <w:szCs w:val="20"/>
        </w:rPr>
      </w:pPr>
      <w:r w:rsidRPr="0018025B">
        <w:rPr>
          <w:b/>
          <w:bCs/>
          <w:sz w:val="20"/>
          <w:szCs w:val="20"/>
        </w:rPr>
        <w:lastRenderedPageBreak/>
        <w:t xml:space="preserve">Fáza 2: </w:t>
      </w:r>
      <w:r w:rsidR="00BD3CBD">
        <w:rPr>
          <w:b/>
          <w:bCs/>
          <w:sz w:val="20"/>
          <w:szCs w:val="20"/>
        </w:rPr>
        <w:t>1</w:t>
      </w:r>
      <w:r w:rsidR="00024B28">
        <w:rPr>
          <w:b/>
          <w:bCs/>
          <w:sz w:val="20"/>
          <w:szCs w:val="20"/>
        </w:rPr>
        <w:t xml:space="preserve">. október </w:t>
      </w:r>
      <w:r w:rsidRPr="0018025B">
        <w:rPr>
          <w:b/>
          <w:bCs/>
          <w:sz w:val="20"/>
          <w:szCs w:val="20"/>
        </w:rPr>
        <w:t xml:space="preserve"> – 30. </w:t>
      </w:r>
      <w:r w:rsidR="00024B28">
        <w:rPr>
          <w:b/>
          <w:bCs/>
          <w:sz w:val="20"/>
          <w:szCs w:val="20"/>
        </w:rPr>
        <w:t>október 2026</w:t>
      </w:r>
      <w:r w:rsidRPr="0018025B">
        <w:rPr>
          <w:b/>
          <w:bCs/>
          <w:sz w:val="20"/>
          <w:szCs w:val="20"/>
        </w:rPr>
        <w:t>.</w:t>
      </w:r>
    </w:p>
    <w:p w14:paraId="66FE4324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Porota vyhodnotí projekty a vyberie tie najlepšie do finále. V tejto fáze môže hodnotiaca komisia v prípade potreby požiadať o doplňujúce informácie. Účastníci budú o svojich nomináciách informovaní písomne.</w:t>
      </w:r>
    </w:p>
    <w:p w14:paraId="1044366D" w14:textId="77777777" w:rsidR="004E03F3" w:rsidRDefault="004E03F3" w:rsidP="004F5B63">
      <w:pPr>
        <w:spacing w:after="120" w:line="276" w:lineRule="auto"/>
        <w:rPr>
          <w:b/>
          <w:bCs/>
          <w:sz w:val="20"/>
          <w:szCs w:val="20"/>
        </w:rPr>
      </w:pPr>
    </w:p>
    <w:p w14:paraId="1C307435" w14:textId="2CC5E366" w:rsidR="004E03F3" w:rsidRDefault="004F5B63" w:rsidP="004F5B63">
      <w:pPr>
        <w:spacing w:after="120" w:line="276" w:lineRule="auto"/>
        <w:rPr>
          <w:b/>
          <w:bCs/>
          <w:sz w:val="20"/>
          <w:szCs w:val="20"/>
        </w:rPr>
      </w:pPr>
      <w:r w:rsidRPr="0018025B">
        <w:rPr>
          <w:b/>
          <w:bCs/>
          <w:sz w:val="20"/>
          <w:szCs w:val="20"/>
        </w:rPr>
        <w:t xml:space="preserve">Fáza 3: </w:t>
      </w:r>
      <w:r w:rsidR="00CC4018">
        <w:rPr>
          <w:b/>
          <w:bCs/>
          <w:sz w:val="20"/>
          <w:szCs w:val="20"/>
        </w:rPr>
        <w:t>19. november 2026</w:t>
      </w:r>
    </w:p>
    <w:p w14:paraId="7C922B6B" w14:textId="2E0EF5FB" w:rsidR="004F5B63" w:rsidRPr="004E03F3" w:rsidRDefault="004F5B63" w:rsidP="004F5B63">
      <w:pPr>
        <w:spacing w:after="120" w:line="276" w:lineRule="auto"/>
        <w:rPr>
          <w:b/>
          <w:bCs/>
          <w:sz w:val="20"/>
          <w:szCs w:val="20"/>
        </w:rPr>
      </w:pPr>
      <w:r w:rsidRPr="0018025B">
        <w:rPr>
          <w:sz w:val="20"/>
          <w:szCs w:val="20"/>
        </w:rPr>
        <w:t xml:space="preserve">Slávnostné vyhlásenie a ocenenie víťazov v jednotlivých kategóriách sa uskutoční na </w:t>
      </w:r>
      <w:r w:rsidR="00934267">
        <w:rPr>
          <w:sz w:val="20"/>
          <w:szCs w:val="20"/>
        </w:rPr>
        <w:t>konferencii</w:t>
      </w:r>
      <w:r w:rsidRPr="0018025B">
        <w:rPr>
          <w:sz w:val="20"/>
          <w:szCs w:val="20"/>
        </w:rPr>
        <w:t xml:space="preserve"> AHK Slowakei </w:t>
      </w:r>
      <w:r w:rsidR="00934267">
        <w:rPr>
          <w:sz w:val="20"/>
          <w:szCs w:val="20"/>
        </w:rPr>
        <w:t>v oblasti vzdelávania 19. novembra 2026</w:t>
      </w:r>
      <w:r w:rsidRPr="0018025B">
        <w:rPr>
          <w:sz w:val="20"/>
          <w:szCs w:val="20"/>
        </w:rPr>
        <w:t xml:space="preserve">. Projektom, ktoré presahujú jednotlivé kategórie alebo sú inak špecifické, môže porota udeliť </w:t>
      </w:r>
      <w:r w:rsidR="00934267">
        <w:rPr>
          <w:sz w:val="20"/>
          <w:szCs w:val="20"/>
        </w:rPr>
        <w:t>M</w:t>
      </w:r>
      <w:r w:rsidRPr="0018025B">
        <w:rPr>
          <w:sz w:val="20"/>
          <w:szCs w:val="20"/>
        </w:rPr>
        <w:t>imoriadnu cenu AHK.</w:t>
      </w:r>
    </w:p>
    <w:p w14:paraId="0E989FC2" w14:textId="7BFF1A30" w:rsidR="004F5B63" w:rsidRPr="0018025B" w:rsidRDefault="00B54BDB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 xml:space="preserve">5.2. </w:t>
      </w:r>
      <w:r w:rsidR="004F5B63" w:rsidRPr="0018025B">
        <w:rPr>
          <w:sz w:val="20"/>
          <w:szCs w:val="20"/>
        </w:rPr>
        <w:t>Formálne požiadavky</w:t>
      </w:r>
    </w:p>
    <w:p w14:paraId="1035A0EF" w14:textId="35A94133" w:rsidR="004F5B63" w:rsidRPr="0018025B" w:rsidRDefault="0036098E" w:rsidP="0046493B">
      <w:pPr>
        <w:shd w:val="clear" w:color="auto" w:fill="FFFFFF"/>
        <w:spacing w:before="75" w:after="7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4F5B63" w:rsidRPr="0018025B">
        <w:rPr>
          <w:sz w:val="20"/>
          <w:szCs w:val="20"/>
        </w:rPr>
        <w:t xml:space="preserve">Žiadosti </w:t>
      </w:r>
      <w:r w:rsidR="00190C65">
        <w:rPr>
          <w:sz w:val="20"/>
          <w:szCs w:val="20"/>
        </w:rPr>
        <w:t>sa p</w:t>
      </w:r>
      <w:r w:rsidR="006F673F">
        <w:rPr>
          <w:sz w:val="20"/>
          <w:szCs w:val="20"/>
        </w:rPr>
        <w:t>re</w:t>
      </w:r>
      <w:r w:rsidR="00791A4D">
        <w:rPr>
          <w:sz w:val="20"/>
          <w:szCs w:val="20"/>
        </w:rPr>
        <w:t>d</w:t>
      </w:r>
      <w:r w:rsidR="006D2FC8">
        <w:rPr>
          <w:sz w:val="20"/>
          <w:szCs w:val="20"/>
        </w:rPr>
        <w:t>kladaj</w:t>
      </w:r>
      <w:r w:rsidR="00D43F7D">
        <w:rPr>
          <w:sz w:val="20"/>
          <w:szCs w:val="20"/>
        </w:rPr>
        <w:t>ú v</w:t>
      </w:r>
      <w:r w:rsidR="00455D11">
        <w:rPr>
          <w:sz w:val="20"/>
          <w:szCs w:val="20"/>
        </w:rPr>
        <w:t> </w:t>
      </w:r>
      <w:r w:rsidR="00D43F7D">
        <w:rPr>
          <w:sz w:val="20"/>
          <w:szCs w:val="20"/>
        </w:rPr>
        <w:t>sl</w:t>
      </w:r>
      <w:r w:rsidR="00512219">
        <w:rPr>
          <w:sz w:val="20"/>
          <w:szCs w:val="20"/>
        </w:rPr>
        <w:t>ovenskom</w:t>
      </w:r>
      <w:r w:rsidR="00455D11">
        <w:rPr>
          <w:sz w:val="20"/>
          <w:szCs w:val="20"/>
        </w:rPr>
        <w:t xml:space="preserve"> alebo n</w:t>
      </w:r>
      <w:r w:rsidR="00F841B3">
        <w:rPr>
          <w:sz w:val="20"/>
          <w:szCs w:val="20"/>
        </w:rPr>
        <w:t>em</w:t>
      </w:r>
      <w:r w:rsidR="007044CC">
        <w:rPr>
          <w:sz w:val="20"/>
          <w:szCs w:val="20"/>
        </w:rPr>
        <w:t>e</w:t>
      </w:r>
      <w:r w:rsidR="00F841B3">
        <w:rPr>
          <w:sz w:val="20"/>
          <w:szCs w:val="20"/>
        </w:rPr>
        <w:t>ckom</w:t>
      </w:r>
      <w:r w:rsidR="00634B87">
        <w:rPr>
          <w:sz w:val="20"/>
          <w:szCs w:val="20"/>
        </w:rPr>
        <w:t xml:space="preserve"> jazyk</w:t>
      </w:r>
      <w:r w:rsidR="001572D3">
        <w:rPr>
          <w:sz w:val="20"/>
          <w:szCs w:val="20"/>
        </w:rPr>
        <w:t>u</w:t>
      </w:r>
      <w:r w:rsidR="00C23F5A">
        <w:rPr>
          <w:sz w:val="20"/>
          <w:szCs w:val="20"/>
        </w:rPr>
        <w:t xml:space="preserve">. </w:t>
      </w:r>
    </w:p>
    <w:p w14:paraId="712B98DE" w14:textId="7F48AE85" w:rsidR="00DB02C9" w:rsidRPr="00DB02C9" w:rsidRDefault="0046493B" w:rsidP="00DB02C9">
      <w:pPr>
        <w:shd w:val="clear" w:color="auto" w:fill="FFFFFF"/>
        <w:spacing w:before="75" w:after="7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4F5B63" w:rsidRPr="0018025B">
        <w:rPr>
          <w:sz w:val="20"/>
          <w:szCs w:val="20"/>
        </w:rPr>
        <w:t>Žiadosť je možné podať</w:t>
      </w:r>
      <w:r w:rsidR="002B676E">
        <w:rPr>
          <w:sz w:val="20"/>
          <w:szCs w:val="20"/>
        </w:rPr>
        <w:t xml:space="preserve"> </w:t>
      </w:r>
      <w:r w:rsidR="004F5B63" w:rsidRPr="0018025B">
        <w:rPr>
          <w:sz w:val="20"/>
          <w:szCs w:val="20"/>
        </w:rPr>
        <w:t>prostredníctvom online formulára</w:t>
      </w:r>
      <w:r w:rsidR="00C60B61">
        <w:rPr>
          <w:sz w:val="20"/>
          <w:szCs w:val="20"/>
        </w:rPr>
        <w:t xml:space="preserve">, alebo </w:t>
      </w:r>
      <w:r w:rsidR="00CF7A6B" w:rsidRPr="003516D0">
        <w:rPr>
          <w:sz w:val="20"/>
          <w:szCs w:val="20"/>
        </w:rPr>
        <w:t>aj mailom - zaslaním vyplneného PFD formulára</w:t>
      </w:r>
      <w:r w:rsidR="002B676E" w:rsidRPr="003516D0">
        <w:rPr>
          <w:sz w:val="20"/>
          <w:szCs w:val="20"/>
        </w:rPr>
        <w:t>.</w:t>
      </w:r>
      <w:r w:rsidR="00CF7A6B" w:rsidRPr="00CF7A6B">
        <w:rPr>
          <w:sz w:val="20"/>
          <w:szCs w:val="20"/>
        </w:rPr>
        <w:t xml:space="preserve"> </w:t>
      </w:r>
      <w:r w:rsidR="00DB02C9" w:rsidRPr="00DB02C9">
        <w:rPr>
          <w:sz w:val="20"/>
          <w:szCs w:val="20"/>
        </w:rPr>
        <w:t xml:space="preserve">Súčasťou prihlásenia do súťaže je vyplnenie prihlasovacieho formulára a nahranie krátkeho prezentačného videa v maximálnej dĺžke </w:t>
      </w:r>
      <w:r w:rsidR="00DB02C9" w:rsidRPr="00CB30EC">
        <w:rPr>
          <w:sz w:val="20"/>
          <w:szCs w:val="20"/>
        </w:rPr>
        <w:t>60 sekúnd,</w:t>
      </w:r>
      <w:r w:rsidR="00DB02C9" w:rsidRPr="00DB02C9">
        <w:rPr>
          <w:sz w:val="20"/>
          <w:szCs w:val="20"/>
        </w:rPr>
        <w:t xml:space="preserve"> ktoré predstaví prihlasovaný projekt, iniciatívu alebo organizáciu.</w:t>
      </w:r>
      <w:r w:rsidR="003611D6">
        <w:rPr>
          <w:sz w:val="20"/>
          <w:szCs w:val="20"/>
        </w:rPr>
        <w:t xml:space="preserve"> </w:t>
      </w:r>
    </w:p>
    <w:p w14:paraId="30945ECE" w14:textId="06A554A6" w:rsidR="00DB02C9" w:rsidRPr="00DB02C9" w:rsidRDefault="00DB02C9" w:rsidP="00DB02C9">
      <w:pPr>
        <w:shd w:val="clear" w:color="auto" w:fill="FFFFFF"/>
        <w:spacing w:before="75" w:after="75"/>
        <w:jc w:val="both"/>
        <w:rPr>
          <w:sz w:val="20"/>
          <w:szCs w:val="20"/>
        </w:rPr>
      </w:pPr>
      <w:r w:rsidRPr="00DB02C9">
        <w:rPr>
          <w:sz w:val="20"/>
          <w:szCs w:val="20"/>
        </w:rPr>
        <w:t>Organizátor je oprávnený použiť poskytnuté video na účely propagácie ceny a konferencie, najmä prostredníctvom webovej stránky AHK Slowakei, sociálnych sietí (vrátane LinkedIn), newsletterov a ďalších komunikačných kanálov, ako aj počas samotnej konferencie a slávnostného vyhlásenia výsledkov.</w:t>
      </w:r>
      <w:r w:rsidR="00CB30EC">
        <w:rPr>
          <w:sz w:val="20"/>
          <w:szCs w:val="20"/>
        </w:rPr>
        <w:t xml:space="preserve"> </w:t>
      </w:r>
    </w:p>
    <w:p w14:paraId="4705DCE0" w14:textId="6EC45D84" w:rsidR="00DB02C9" w:rsidRPr="00DB02C9" w:rsidRDefault="00DB02C9" w:rsidP="00DB02C9">
      <w:pPr>
        <w:shd w:val="clear" w:color="auto" w:fill="FFFFFF"/>
        <w:spacing w:before="75" w:after="75"/>
        <w:jc w:val="both"/>
        <w:rPr>
          <w:sz w:val="20"/>
          <w:szCs w:val="20"/>
        </w:rPr>
      </w:pPr>
      <w:r w:rsidRPr="00DB02C9">
        <w:rPr>
          <w:sz w:val="20"/>
          <w:szCs w:val="20"/>
        </w:rPr>
        <w:t>Prihlásením do súťaže účastník potvrdzuje, že disponuje všetkými potrebnými právami na použitie videa a udeľuje organizátorovi súhlas na jeho použitie na vyššie uvedené účely bez nároku na dodatočnú odmenu.</w:t>
      </w:r>
      <w:r w:rsidR="008F495A">
        <w:rPr>
          <w:sz w:val="20"/>
          <w:szCs w:val="20"/>
        </w:rPr>
        <w:t xml:space="preserve"> </w:t>
      </w:r>
      <w:r w:rsidR="00FD27B0">
        <w:rPr>
          <w:sz w:val="20"/>
          <w:szCs w:val="20"/>
        </w:rPr>
        <w:t xml:space="preserve">Účastník pridá video </w:t>
      </w:r>
      <w:r w:rsidR="00621666">
        <w:rPr>
          <w:sz w:val="20"/>
          <w:szCs w:val="20"/>
        </w:rPr>
        <w:t xml:space="preserve">uvedením odkazu na YouTube ako nezaradené video v prihlasovacom formulári. </w:t>
      </w:r>
    </w:p>
    <w:p w14:paraId="3E98C205" w14:textId="46F767A0" w:rsidR="00CF7A6B" w:rsidRPr="0018025B" w:rsidRDefault="00CF7A6B" w:rsidP="0046493B">
      <w:pPr>
        <w:shd w:val="clear" w:color="auto" w:fill="FFFFFF"/>
        <w:spacing w:before="75" w:after="75"/>
        <w:jc w:val="both"/>
        <w:rPr>
          <w:sz w:val="20"/>
          <w:szCs w:val="20"/>
        </w:rPr>
      </w:pPr>
    </w:p>
    <w:p w14:paraId="60099576" w14:textId="408E369D" w:rsidR="004F5B63" w:rsidRPr="0018025B" w:rsidRDefault="0046493B" w:rsidP="0046493B">
      <w:pPr>
        <w:shd w:val="clear" w:color="auto" w:fill="FFFFFF"/>
        <w:spacing w:before="75" w:after="7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C5BA2" w:rsidRPr="0018025B">
        <w:rPr>
          <w:sz w:val="20"/>
          <w:szCs w:val="20"/>
        </w:rPr>
        <w:t>K</w:t>
      </w:r>
      <w:r w:rsidR="004F5B63" w:rsidRPr="0018025B">
        <w:rPr>
          <w:sz w:val="20"/>
          <w:szCs w:val="20"/>
        </w:rPr>
        <w:t xml:space="preserve">ontaktné údaje AHK Slowakei: </w:t>
      </w:r>
    </w:p>
    <w:p w14:paraId="2770FAD9" w14:textId="6E4634D7" w:rsidR="004F5B63" w:rsidRPr="00470FCC" w:rsidRDefault="00C52385" w:rsidP="0046493B">
      <w:pPr>
        <w:spacing w:after="120" w:line="276" w:lineRule="auto"/>
        <w:rPr>
          <w:color w:val="003366"/>
          <w:sz w:val="20"/>
          <w:szCs w:val="20"/>
          <w:u w:val="single"/>
        </w:rPr>
      </w:pPr>
      <w:r w:rsidRPr="00C52385">
        <w:rPr>
          <w:color w:val="003366"/>
          <w:sz w:val="20"/>
          <w:szCs w:val="20"/>
        </w:rPr>
        <w:t xml:space="preserve">  </w:t>
      </w:r>
      <w:hyperlink r:id="rId12" w:history="1">
        <w:r w:rsidRPr="00470FCC">
          <w:rPr>
            <w:rStyle w:val="Hyperlink"/>
            <w:color w:val="003366"/>
            <w:sz w:val="20"/>
            <w:szCs w:val="20"/>
          </w:rPr>
          <w:t>dualpro@ahk.sk</w:t>
        </w:r>
      </w:hyperlink>
    </w:p>
    <w:p w14:paraId="50B471CB" w14:textId="77777777" w:rsidR="00146DF9" w:rsidRPr="0018025B" w:rsidRDefault="00146DF9" w:rsidP="005C5BA2">
      <w:pPr>
        <w:spacing w:after="120" w:line="276" w:lineRule="auto"/>
        <w:ind w:left="708"/>
        <w:rPr>
          <w:color w:val="003366"/>
          <w:sz w:val="20"/>
          <w:szCs w:val="20"/>
          <w:u w:val="single"/>
        </w:rPr>
      </w:pPr>
    </w:p>
    <w:p w14:paraId="345429B4" w14:textId="77777777" w:rsidR="004F5B63" w:rsidRPr="0018025B" w:rsidRDefault="004F5B63" w:rsidP="004F5B63">
      <w:pPr>
        <w:spacing w:after="120" w:line="276" w:lineRule="auto"/>
        <w:rPr>
          <w:b/>
          <w:bCs/>
          <w:color w:val="003366"/>
        </w:rPr>
      </w:pPr>
      <w:r w:rsidRPr="0018025B">
        <w:rPr>
          <w:b/>
          <w:bCs/>
          <w:color w:val="003366"/>
        </w:rPr>
        <w:t>6. Odborná porota</w:t>
      </w:r>
    </w:p>
    <w:p w14:paraId="54088FB4" w14:textId="7EE5B1E4" w:rsidR="00E61EE3" w:rsidRPr="00E61EE3" w:rsidRDefault="004F5B63" w:rsidP="00E61EE3">
      <w:pPr>
        <w:spacing w:after="120" w:line="276" w:lineRule="auto"/>
        <w:rPr>
          <w:sz w:val="20"/>
          <w:szCs w:val="20"/>
        </w:rPr>
      </w:pPr>
      <w:r w:rsidRPr="00E61EE3">
        <w:rPr>
          <w:sz w:val="20"/>
          <w:szCs w:val="20"/>
        </w:rPr>
        <w:t xml:space="preserve">6.1 </w:t>
      </w:r>
      <w:r w:rsidR="00E61EE3" w:rsidRPr="00E61EE3">
        <w:rPr>
          <w:sz w:val="20"/>
          <w:szCs w:val="20"/>
        </w:rPr>
        <w:t>O víťazoch jednotlivých kategórií rozhod</w:t>
      </w:r>
      <w:r w:rsidR="00070D35">
        <w:rPr>
          <w:sz w:val="20"/>
          <w:szCs w:val="20"/>
        </w:rPr>
        <w:t>ne</w:t>
      </w:r>
      <w:r w:rsidR="00E61EE3" w:rsidRPr="00E61EE3">
        <w:rPr>
          <w:sz w:val="20"/>
          <w:szCs w:val="20"/>
        </w:rPr>
        <w:t xml:space="preserve"> odborná porota zložená zo zástupcov partnerov ceny a konferencie, verejných inštitúcií, slovenskej a nemeckej strany, zamestnávateľských organizácií a odborníkov z oblasti vzdelávania a hospodárskej praxe.</w:t>
      </w:r>
    </w:p>
    <w:p w14:paraId="3D2B6DAB" w14:textId="10388A4F" w:rsidR="004F5B63" w:rsidRPr="0018025B" w:rsidRDefault="00E61EE3" w:rsidP="00163910">
      <w:pPr>
        <w:spacing w:after="120" w:line="276" w:lineRule="auto"/>
        <w:rPr>
          <w:sz w:val="20"/>
          <w:szCs w:val="20"/>
        </w:rPr>
      </w:pPr>
      <w:r w:rsidRPr="00E61EE3">
        <w:rPr>
          <w:sz w:val="20"/>
          <w:szCs w:val="20"/>
        </w:rPr>
        <w:t>Porota zabezpečuje odborné, objektívne a transparentné hodnotenie prihlásených projektov, pričom zohľadňuje pohľad zamestnávateľov, vzdelávacích inštitúcií a ďalších relevantných aktérov pôsobiacich v oblasti rozvoja ľudských zdrojov a vzdelávania.</w:t>
      </w:r>
    </w:p>
    <w:p w14:paraId="461B0566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 xml:space="preserve">6.2. Porota pri svojom rozhodovaní vychádza z cieľov stanovených organizátorom a z vopred sformulovaných kritérií hodnotenia. </w:t>
      </w:r>
    </w:p>
    <w:p w14:paraId="15AAF073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 xml:space="preserve">6.3 Hodnotiaca komisia hodnotí predložené projekty na základe nasledujúcich kritérií: </w:t>
      </w:r>
    </w:p>
    <w:p w14:paraId="2F5215B5" w14:textId="69821DD4" w:rsidR="004F5B63" w:rsidRPr="00147399" w:rsidRDefault="004F5B63" w:rsidP="00147399">
      <w:pPr>
        <w:pStyle w:val="ListParagraph"/>
        <w:numPr>
          <w:ilvl w:val="0"/>
          <w:numId w:val="11"/>
        </w:numPr>
        <w:spacing w:after="120" w:line="276" w:lineRule="auto"/>
        <w:rPr>
          <w:rFonts w:ascii="Source Sans Pro" w:eastAsiaTheme="minorHAnsi" w:hAnsi="Source Sans Pro" w:cs="Times New Roman (TextkA�rper CS"/>
          <w:sz w:val="20"/>
          <w:szCs w:val="20"/>
        </w:rPr>
      </w:pPr>
      <w:r w:rsidRPr="00147399">
        <w:rPr>
          <w:rFonts w:ascii="Source Sans Pro" w:eastAsiaTheme="minorHAnsi" w:hAnsi="Source Sans Pro" w:cs="Times New Roman (TextkA�rper CS"/>
          <w:b/>
          <w:bCs/>
          <w:sz w:val="20"/>
          <w:szCs w:val="20"/>
        </w:rPr>
        <w:t xml:space="preserve">Relevantnosť / význam pre zamestnávateľa: </w:t>
      </w:r>
      <w:r w:rsidRPr="00147399">
        <w:rPr>
          <w:rFonts w:ascii="Source Sans Pro" w:eastAsiaTheme="minorHAnsi" w:hAnsi="Source Sans Pro" w:cs="Times New Roman (TextkA�rper CS"/>
          <w:sz w:val="20"/>
          <w:szCs w:val="20"/>
        </w:rPr>
        <w:t>Aký je význam projektu v rámci organizácie? Ako sa zamestnávateľ podieľal na príprave a realizácii vzdelávania/projektu a aké špecifické požiadavky presadil/zohľadnil pri spolupráci s partnermi vzdelávania</w:t>
      </w:r>
      <w:r w:rsidR="0018025B" w:rsidRPr="00147399">
        <w:rPr>
          <w:rFonts w:ascii="Source Sans Pro" w:eastAsiaTheme="minorHAnsi" w:hAnsi="Source Sans Pro" w:cs="Times New Roman (TextkA�rper CS"/>
          <w:sz w:val="20"/>
          <w:szCs w:val="20"/>
        </w:rPr>
        <w:t>?</w:t>
      </w:r>
      <w:r w:rsidRPr="00147399">
        <w:rPr>
          <w:rFonts w:ascii="Source Sans Pro" w:eastAsiaTheme="minorHAnsi" w:hAnsi="Source Sans Pro" w:cs="Times New Roman (TextkA�rper CS"/>
          <w:sz w:val="20"/>
          <w:szCs w:val="20"/>
        </w:rPr>
        <w:t xml:space="preserve"> Aká je úspešnosť a uplatniteľnosť absolventov?</w:t>
      </w:r>
    </w:p>
    <w:p w14:paraId="7B177DBE" w14:textId="4BE421E5" w:rsidR="004F5B63" w:rsidRPr="00147399" w:rsidRDefault="004F5B63" w:rsidP="00147399">
      <w:pPr>
        <w:pStyle w:val="ListParagraph"/>
        <w:numPr>
          <w:ilvl w:val="0"/>
          <w:numId w:val="11"/>
        </w:numPr>
        <w:spacing w:after="120" w:line="276" w:lineRule="auto"/>
        <w:rPr>
          <w:rFonts w:ascii="Source Sans Pro" w:eastAsiaTheme="minorHAnsi" w:hAnsi="Source Sans Pro" w:cs="Times New Roman (TextkA�rper CS"/>
          <w:sz w:val="20"/>
          <w:szCs w:val="20"/>
        </w:rPr>
      </w:pPr>
      <w:r w:rsidRPr="00147399">
        <w:rPr>
          <w:rFonts w:ascii="Source Sans Pro" w:eastAsiaTheme="minorHAnsi" w:hAnsi="Source Sans Pro" w:cs="Times New Roman (TextkA�rper CS"/>
          <w:b/>
          <w:bCs/>
          <w:sz w:val="20"/>
          <w:szCs w:val="20"/>
        </w:rPr>
        <w:t xml:space="preserve">Udržateľnosť: </w:t>
      </w:r>
      <w:r w:rsidRPr="00147399">
        <w:rPr>
          <w:rFonts w:ascii="Source Sans Pro" w:eastAsiaTheme="minorHAnsi" w:hAnsi="Source Sans Pro" w:cs="Times New Roman (TextkA�rper CS"/>
          <w:sz w:val="20"/>
          <w:szCs w:val="20"/>
        </w:rPr>
        <w:t>Môžu sa princípy alebo prvky projektu uplatniť ako príklad a vzor pre iné spoločnosti? Môže sa projekt opakovať a/alebo realizovať v dlhodobejšom horizonte?</w:t>
      </w:r>
    </w:p>
    <w:p w14:paraId="4F3FDCAE" w14:textId="2E2222D6" w:rsidR="004F5B63" w:rsidRPr="00147399" w:rsidRDefault="004F5B63" w:rsidP="00147399">
      <w:pPr>
        <w:pStyle w:val="ListParagraph"/>
        <w:numPr>
          <w:ilvl w:val="0"/>
          <w:numId w:val="11"/>
        </w:numPr>
        <w:spacing w:after="120" w:line="276" w:lineRule="auto"/>
        <w:rPr>
          <w:rFonts w:ascii="Source Sans Pro" w:eastAsiaTheme="minorHAnsi" w:hAnsi="Source Sans Pro" w:cs="Times New Roman (TextkA�rper CS"/>
          <w:sz w:val="20"/>
          <w:szCs w:val="20"/>
        </w:rPr>
      </w:pPr>
      <w:r w:rsidRPr="00147399">
        <w:rPr>
          <w:rFonts w:ascii="Source Sans Pro" w:eastAsiaTheme="minorHAnsi" w:hAnsi="Source Sans Pro" w:cs="Times New Roman (TextkA�rper CS"/>
          <w:b/>
          <w:bCs/>
          <w:sz w:val="20"/>
          <w:szCs w:val="20"/>
        </w:rPr>
        <w:lastRenderedPageBreak/>
        <w:t xml:space="preserve">Inovatívnosť: </w:t>
      </w:r>
      <w:r w:rsidRPr="00147399">
        <w:rPr>
          <w:rFonts w:ascii="Source Sans Pro" w:eastAsiaTheme="minorHAnsi" w:hAnsi="Source Sans Pro" w:cs="Times New Roman (TextkA�rper CS"/>
          <w:sz w:val="20"/>
          <w:szCs w:val="20"/>
        </w:rPr>
        <w:t xml:space="preserve">Aké nové prvky, nástroje a postupy prináša projekt, ktoré presahujú rámec predchádzajúcich riešení? Reaguje projekt aktívne na inovácie a prispôsobenie sa zmenám vrátane digitalizácie, virtuálneho prostredia? </w:t>
      </w:r>
    </w:p>
    <w:p w14:paraId="4AB19079" w14:textId="1FEB36C8" w:rsidR="00367C83" w:rsidRPr="00C81FE3" w:rsidRDefault="004F5B63" w:rsidP="00C81FE3">
      <w:pPr>
        <w:pStyle w:val="ListParagraph"/>
        <w:numPr>
          <w:ilvl w:val="0"/>
          <w:numId w:val="11"/>
        </w:numPr>
        <w:spacing w:after="120" w:line="276" w:lineRule="auto"/>
        <w:rPr>
          <w:rFonts w:ascii="Source Sans Pro" w:eastAsiaTheme="minorHAnsi" w:hAnsi="Source Sans Pro" w:cs="Times New Roman (TextkA�rper CS"/>
          <w:sz w:val="20"/>
          <w:szCs w:val="20"/>
        </w:rPr>
      </w:pPr>
      <w:r w:rsidRPr="00147399">
        <w:rPr>
          <w:rFonts w:ascii="Source Sans Pro" w:eastAsiaTheme="minorHAnsi" w:hAnsi="Source Sans Pro" w:cs="Times New Roman (TextkA�rper CS"/>
          <w:b/>
          <w:bCs/>
          <w:sz w:val="20"/>
          <w:szCs w:val="20"/>
        </w:rPr>
        <w:t xml:space="preserve">Výnimočnosť a prínos: </w:t>
      </w:r>
      <w:r w:rsidRPr="00147399">
        <w:rPr>
          <w:rFonts w:ascii="Source Sans Pro" w:eastAsiaTheme="minorHAnsi" w:hAnsi="Source Sans Pro" w:cs="Times New Roman (TextkA�rper CS"/>
          <w:sz w:val="20"/>
          <w:szCs w:val="20"/>
        </w:rPr>
        <w:t xml:space="preserve">Aké konkrétne výsledky projekt dosiahol? Obsahuje projekt prvky medzinárodného charakteru, prípadne vzdelávacie aktivity v zahraničí? Prínos pre komunitu? Aký je sociálny aspekt projektu a zameranie na otázky inklúzie a rozmanitosti a rodovej rovnosti? </w:t>
      </w:r>
      <w:r w:rsidR="00EF1296">
        <w:rPr>
          <w:rFonts w:ascii="Source Sans Pro" w:eastAsiaTheme="minorHAnsi" w:hAnsi="Source Sans Pro" w:cs="Times New Roman (TextkA�rper CS"/>
          <w:sz w:val="20"/>
          <w:szCs w:val="20"/>
        </w:rPr>
        <w:br/>
      </w:r>
      <w:r w:rsidR="00EF1296">
        <w:rPr>
          <w:rFonts w:ascii="Source Sans Pro" w:eastAsiaTheme="minorHAnsi" w:hAnsi="Source Sans Pro" w:cs="Times New Roman (TextkA�rper CS"/>
          <w:sz w:val="20"/>
          <w:szCs w:val="20"/>
        </w:rPr>
        <w:br/>
        <w:t xml:space="preserve">Odborná porota nominuje </w:t>
      </w:r>
      <w:r w:rsidR="009F25FA">
        <w:rPr>
          <w:rFonts w:ascii="Source Sans Pro" w:eastAsiaTheme="minorHAnsi" w:hAnsi="Source Sans Pro" w:cs="Times New Roman (TextkA�rper CS"/>
          <w:sz w:val="20"/>
          <w:szCs w:val="20"/>
        </w:rPr>
        <w:t xml:space="preserve">v každej kategórii 3 projekty, ktoré budú predstavené </w:t>
      </w:r>
      <w:r w:rsidR="0030383B">
        <w:rPr>
          <w:rFonts w:ascii="Source Sans Pro" w:eastAsiaTheme="minorHAnsi" w:hAnsi="Source Sans Pro" w:cs="Times New Roman (TextkA�rper CS"/>
          <w:sz w:val="20"/>
          <w:szCs w:val="20"/>
        </w:rPr>
        <w:t xml:space="preserve">v rámci </w:t>
      </w:r>
      <w:r w:rsidR="008F39E7">
        <w:rPr>
          <w:rFonts w:ascii="Source Sans Pro" w:eastAsiaTheme="minorHAnsi" w:hAnsi="Source Sans Pro" w:cs="Times New Roman (TextkA�rper CS"/>
          <w:sz w:val="20"/>
          <w:szCs w:val="20"/>
        </w:rPr>
        <w:t>K</w:t>
      </w:r>
      <w:r w:rsidR="0030383B">
        <w:rPr>
          <w:rFonts w:ascii="Source Sans Pro" w:eastAsiaTheme="minorHAnsi" w:hAnsi="Source Sans Pro" w:cs="Times New Roman (TextkA�rper CS"/>
          <w:sz w:val="20"/>
          <w:szCs w:val="20"/>
        </w:rPr>
        <w:t xml:space="preserve">onferencie </w:t>
      </w:r>
      <w:r w:rsidR="00C81FE3">
        <w:rPr>
          <w:rFonts w:ascii="Source Sans Pro" w:eastAsiaTheme="minorHAnsi" w:hAnsi="Source Sans Pro" w:cs="Times New Roman (TextkA�rper CS"/>
          <w:sz w:val="20"/>
          <w:szCs w:val="20"/>
        </w:rPr>
        <w:t>v oblasti vzdelávania a za víťaza</w:t>
      </w:r>
      <w:r w:rsidR="00141128">
        <w:rPr>
          <w:rFonts w:ascii="Source Sans Pro" w:eastAsiaTheme="minorHAnsi" w:hAnsi="Source Sans Pro" w:cs="Times New Roman (TextkA�rper CS"/>
          <w:sz w:val="20"/>
          <w:szCs w:val="20"/>
        </w:rPr>
        <w:t xml:space="preserve"> budú v každej kategórii hlasovať účastníci konferencie priamou voľbou </w:t>
      </w:r>
      <w:r w:rsidR="00800062">
        <w:rPr>
          <w:rFonts w:ascii="Source Sans Pro" w:eastAsiaTheme="minorHAnsi" w:hAnsi="Source Sans Pro" w:cs="Times New Roman (TextkA�rper CS"/>
          <w:sz w:val="20"/>
          <w:szCs w:val="20"/>
        </w:rPr>
        <w:t>prostredníctvom Slido.</w:t>
      </w:r>
      <w:r w:rsidR="00800062">
        <w:rPr>
          <w:rFonts w:eastAsiaTheme="minorHAnsi"/>
          <w:sz w:val="20"/>
          <w:szCs w:val="20"/>
        </w:rPr>
        <w:t xml:space="preserve"> </w:t>
      </w:r>
      <w:r w:rsidR="003154AD" w:rsidRPr="00C81FE3">
        <w:rPr>
          <w:rFonts w:eastAsiaTheme="minorHAnsi"/>
          <w:sz w:val="20"/>
          <w:szCs w:val="20"/>
        </w:rPr>
        <w:br/>
      </w:r>
    </w:p>
    <w:p w14:paraId="732F319E" w14:textId="6D94AED0" w:rsidR="004F5B63" w:rsidRPr="0018025B" w:rsidRDefault="004F5B63" w:rsidP="00CC4018">
      <w:pPr>
        <w:rPr>
          <w:sz w:val="20"/>
          <w:szCs w:val="20"/>
        </w:rPr>
      </w:pPr>
      <w:r w:rsidRPr="0018025B">
        <w:rPr>
          <w:b/>
          <w:sz w:val="20"/>
          <w:szCs w:val="20"/>
        </w:rPr>
        <w:t>Kritériá špecifické pre kategóriu:</w:t>
      </w:r>
      <w:r w:rsidRPr="0018025B">
        <w:rPr>
          <w:sz w:val="20"/>
          <w:szCs w:val="20"/>
        </w:rPr>
        <w:t xml:space="preserve"> Aspekty, ktoré zohrávajú kľúčovú úlohu v kategórii:</w:t>
      </w:r>
      <w:r w:rsidR="003E1E92">
        <w:rPr>
          <w:sz w:val="20"/>
          <w:szCs w:val="20"/>
        </w:rPr>
        <w:br/>
      </w:r>
    </w:p>
    <w:p w14:paraId="748F64F2" w14:textId="6EBB0215" w:rsidR="004F5B63" w:rsidRPr="0018025B" w:rsidRDefault="00CC4018" w:rsidP="004F5B63">
      <w:pPr>
        <w:numPr>
          <w:ilvl w:val="0"/>
          <w:numId w:val="13"/>
        </w:numPr>
        <w:shd w:val="clear" w:color="auto" w:fill="FFFFFF"/>
        <w:spacing w:before="75" w:after="7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Ú</w:t>
      </w:r>
      <w:r w:rsidR="004F5B63" w:rsidRPr="0018025B">
        <w:rPr>
          <w:b/>
          <w:bCs/>
          <w:sz w:val="20"/>
          <w:szCs w:val="20"/>
        </w:rPr>
        <w:t xml:space="preserve">spešný príbeh: </w:t>
      </w:r>
    </w:p>
    <w:p w14:paraId="7A801BC5" w14:textId="77777777" w:rsidR="00B348C4" w:rsidRPr="00B348C4" w:rsidRDefault="00B348C4" w:rsidP="00B348C4">
      <w:pPr>
        <w:shd w:val="clear" w:color="auto" w:fill="FFFFFF"/>
        <w:spacing w:before="75" w:after="75"/>
        <w:ind w:left="720"/>
        <w:jc w:val="both"/>
        <w:rPr>
          <w:b/>
          <w:bCs/>
          <w:sz w:val="20"/>
          <w:szCs w:val="20"/>
        </w:rPr>
      </w:pPr>
      <w:r w:rsidRPr="003B09E5">
        <w:rPr>
          <w:sz w:val="19"/>
          <w:szCs w:val="19"/>
        </w:rPr>
        <w:t xml:space="preserve">V tejto kategórii sú oceňovaní zamestnávatelia a poskytovatelia vzdelávania, ktorí svojím úspechom </w:t>
      </w:r>
      <w:r>
        <w:rPr>
          <w:sz w:val="19"/>
          <w:szCs w:val="19"/>
        </w:rPr>
        <w:t xml:space="preserve">dlhodobo </w:t>
      </w:r>
      <w:r w:rsidRPr="003B09E5">
        <w:rPr>
          <w:sz w:val="19"/>
          <w:szCs w:val="19"/>
        </w:rPr>
        <w:t>inšpirujú ostatných.</w:t>
      </w:r>
    </w:p>
    <w:p w14:paraId="456DB734" w14:textId="4A8B3E00" w:rsidR="004F5B63" w:rsidRPr="0018025B" w:rsidRDefault="00B348C4" w:rsidP="004F5B63">
      <w:pPr>
        <w:numPr>
          <w:ilvl w:val="0"/>
          <w:numId w:val="13"/>
        </w:numPr>
        <w:shd w:val="clear" w:color="auto" w:fill="FFFFFF"/>
        <w:spacing w:before="75" w:after="7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="004F5B63" w:rsidRPr="0018025B">
        <w:rPr>
          <w:b/>
          <w:bCs/>
          <w:sz w:val="20"/>
          <w:szCs w:val="20"/>
        </w:rPr>
        <w:t>ýzvy:</w:t>
      </w:r>
    </w:p>
    <w:p w14:paraId="1D1A19AA" w14:textId="77777777" w:rsidR="004F5B63" w:rsidRPr="0018025B" w:rsidRDefault="004F5B63" w:rsidP="004F5B63">
      <w:pPr>
        <w:shd w:val="clear" w:color="auto" w:fill="FFFFFF"/>
        <w:spacing w:before="75" w:after="75"/>
        <w:ind w:left="720"/>
        <w:jc w:val="both"/>
        <w:rPr>
          <w:sz w:val="20"/>
          <w:szCs w:val="20"/>
        </w:rPr>
      </w:pPr>
      <w:r w:rsidRPr="0018025B">
        <w:rPr>
          <w:sz w:val="20"/>
          <w:szCs w:val="20"/>
        </w:rPr>
        <w:t>Táto kategória sa zameriava na nápady a riešenia, ktoré zavádzajú inšpiratívne metódy, postupy, nástroje.</w:t>
      </w:r>
    </w:p>
    <w:p w14:paraId="0D574516" w14:textId="49237192" w:rsidR="004F5B63" w:rsidRPr="0018025B" w:rsidRDefault="00D81D00" w:rsidP="004F5B63">
      <w:pPr>
        <w:numPr>
          <w:ilvl w:val="0"/>
          <w:numId w:val="13"/>
        </w:numPr>
        <w:shd w:val="clear" w:color="auto" w:fill="FFFFFF"/>
        <w:spacing w:before="75" w:after="7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</w:t>
      </w:r>
      <w:r w:rsidR="004F5B63" w:rsidRPr="0018025B">
        <w:rPr>
          <w:b/>
          <w:bCs/>
          <w:sz w:val="20"/>
          <w:szCs w:val="20"/>
        </w:rPr>
        <w:t>tart-up</w:t>
      </w:r>
    </w:p>
    <w:p w14:paraId="6802048D" w14:textId="32769373" w:rsidR="004F5B63" w:rsidRPr="00E003F2" w:rsidRDefault="00E003F2" w:rsidP="004F5B63">
      <w:pPr>
        <w:shd w:val="clear" w:color="auto" w:fill="FFFFFF"/>
        <w:spacing w:before="75" w:after="75"/>
        <w:ind w:left="720"/>
        <w:jc w:val="both"/>
        <w:rPr>
          <w:sz w:val="20"/>
          <w:szCs w:val="20"/>
        </w:rPr>
      </w:pPr>
      <w:r w:rsidRPr="00E003F2">
        <w:rPr>
          <w:sz w:val="20"/>
          <w:szCs w:val="20"/>
        </w:rPr>
        <w:t>V tejto kategórii sú oceňovaní zamestnávatelia a poskytovatelia odborného vzdelávania a ďalšieho vzdelávania, ktorým sa v posledných troch rokoch podarilo úspešne vstúpiť na trh alebo zaviesť nový odbor a pod.</w:t>
      </w:r>
      <w:r w:rsidR="004F5B63" w:rsidRPr="00E003F2">
        <w:rPr>
          <w:sz w:val="20"/>
          <w:szCs w:val="20"/>
        </w:rPr>
        <w:t>.</w:t>
      </w:r>
    </w:p>
    <w:p w14:paraId="307591D4" w14:textId="2E529E72" w:rsidR="004F5B63" w:rsidRPr="0018025B" w:rsidRDefault="00D81D00" w:rsidP="004F5B63">
      <w:pPr>
        <w:numPr>
          <w:ilvl w:val="0"/>
          <w:numId w:val="13"/>
        </w:numPr>
        <w:shd w:val="clear" w:color="auto" w:fill="FFFFFF"/>
        <w:spacing w:before="75" w:after="7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</w:t>
      </w:r>
      <w:r w:rsidR="004F5B63" w:rsidRPr="0018025B">
        <w:rPr>
          <w:b/>
          <w:bCs/>
          <w:sz w:val="20"/>
          <w:szCs w:val="20"/>
        </w:rPr>
        <w:t>imoriadna cena AHK:</w:t>
      </w:r>
    </w:p>
    <w:p w14:paraId="29684E7B" w14:textId="77777777" w:rsidR="004F5B63" w:rsidRPr="0018025B" w:rsidRDefault="004F5B63" w:rsidP="004F5B63">
      <w:pPr>
        <w:shd w:val="clear" w:color="auto" w:fill="FFFFFF"/>
        <w:spacing w:before="75" w:after="75"/>
        <w:ind w:left="720"/>
        <w:jc w:val="both"/>
        <w:rPr>
          <w:b/>
          <w:bCs/>
          <w:sz w:val="20"/>
          <w:szCs w:val="20"/>
        </w:rPr>
      </w:pPr>
      <w:r w:rsidRPr="0018025B">
        <w:rPr>
          <w:sz w:val="20"/>
          <w:szCs w:val="20"/>
        </w:rPr>
        <w:t>Projekt, ktorý zaujme porotu a nespadá do žiadnej z kategórií.</w:t>
      </w:r>
    </w:p>
    <w:p w14:paraId="21977DB5" w14:textId="77777777" w:rsidR="004F5B63" w:rsidRPr="0018025B" w:rsidRDefault="004F5B63" w:rsidP="004F5B63">
      <w:pPr>
        <w:shd w:val="clear" w:color="auto" w:fill="FFFFFF"/>
        <w:spacing w:before="75" w:after="75"/>
        <w:ind w:left="720"/>
        <w:jc w:val="both"/>
        <w:rPr>
          <w:b/>
          <w:bCs/>
          <w:sz w:val="20"/>
          <w:szCs w:val="20"/>
        </w:rPr>
      </w:pPr>
    </w:p>
    <w:p w14:paraId="4BBE44FF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6.4. Proti rozhodnutiam hodnotiacej komisie nie je možné sa odvolať. Porota je nezávislá a nie je povinná svoje rozhodnutia odôvodniť.</w:t>
      </w:r>
    </w:p>
    <w:p w14:paraId="5D69C5F9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</w:p>
    <w:p w14:paraId="3DDCCB68" w14:textId="77777777" w:rsidR="004F5B63" w:rsidRPr="0018025B" w:rsidRDefault="004F5B63" w:rsidP="004F5B63">
      <w:pPr>
        <w:spacing w:after="120" w:line="276" w:lineRule="auto"/>
        <w:rPr>
          <w:b/>
          <w:bCs/>
          <w:color w:val="003366"/>
        </w:rPr>
      </w:pPr>
      <w:r w:rsidRPr="0018025B">
        <w:rPr>
          <w:b/>
          <w:bCs/>
          <w:color w:val="003366"/>
        </w:rPr>
        <w:t>7. Náklady</w:t>
      </w:r>
    </w:p>
    <w:p w14:paraId="5A74287A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7.1 Účasť v súťaži je bezplatná.</w:t>
      </w:r>
    </w:p>
    <w:p w14:paraId="3541A60A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 xml:space="preserve">7.2 Náklady spojené s prihlásením znáša účastník. </w:t>
      </w:r>
    </w:p>
    <w:p w14:paraId="328B9FAE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7.3 Výhercom sa neposkytuje žiadna finančná podpora.</w:t>
      </w:r>
    </w:p>
    <w:p w14:paraId="3179AC14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</w:p>
    <w:p w14:paraId="23CB5B40" w14:textId="77777777" w:rsidR="004F5B63" w:rsidRPr="0018025B" w:rsidRDefault="004F5B63" w:rsidP="004F5B63">
      <w:pPr>
        <w:spacing w:after="120" w:line="276" w:lineRule="auto"/>
        <w:rPr>
          <w:b/>
          <w:bCs/>
          <w:color w:val="003366"/>
        </w:rPr>
      </w:pPr>
      <w:r w:rsidRPr="0018025B">
        <w:rPr>
          <w:b/>
          <w:bCs/>
          <w:color w:val="003366"/>
        </w:rPr>
        <w:t>8. Ochrana údajov</w:t>
      </w:r>
    </w:p>
    <w:p w14:paraId="4B7873E0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8.1. AHK Slowakei je oprávnená štatisticky analyzovať údaje účastníkov a zverejňovať výsledky. Údaje o jednotlivých uchádzačoch sa pritom nezverejňujú.</w:t>
      </w:r>
    </w:p>
    <w:p w14:paraId="6702391B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 xml:space="preserve">8.2. Účastníci súhlasia s tým, že skutočnosť o ich účasti môže byť zverejnená. </w:t>
      </w:r>
    </w:p>
    <w:p w14:paraId="5B55ADC1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 xml:space="preserve">8.3. Prihlasovacie údaje sú potrebné na vyhodnotenie a nebudú zverejnené. </w:t>
      </w:r>
    </w:p>
    <w:p w14:paraId="00F7A301" w14:textId="15B66DE8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lastRenderedPageBreak/>
        <w:t>8.4. AHK Slowakei je oprávnená zverejniť tieto informácie o uchádzačoch o Cenu vo svojich publikáciách alebo vo verejných komunikačných kanáloch týkajúcich sa odborného</w:t>
      </w:r>
      <w:r w:rsidR="0007134B">
        <w:rPr>
          <w:sz w:val="20"/>
          <w:szCs w:val="20"/>
        </w:rPr>
        <w:t xml:space="preserve"> a ďalšieho</w:t>
      </w:r>
      <w:r w:rsidRPr="0018025B">
        <w:rPr>
          <w:sz w:val="20"/>
          <w:szCs w:val="20"/>
        </w:rPr>
        <w:t xml:space="preserve"> vzdelávania: </w:t>
      </w:r>
    </w:p>
    <w:p w14:paraId="37350154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 xml:space="preserve">- názov spoločnosti, sídlo, odvetvie a počet zamestnancov, </w:t>
      </w:r>
    </w:p>
    <w:p w14:paraId="0780D48D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- názov a stručný opis projektu na základe prihlasovacieho formulára.</w:t>
      </w:r>
    </w:p>
    <w:p w14:paraId="7466ECC7" w14:textId="14D8D1CA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 xml:space="preserve">8.5. Akékoľvek ďalšie informácie </w:t>
      </w:r>
      <w:r w:rsidR="000C16A3" w:rsidRPr="0018025B">
        <w:rPr>
          <w:sz w:val="20"/>
          <w:szCs w:val="20"/>
        </w:rPr>
        <w:t xml:space="preserve">zverejní </w:t>
      </w:r>
      <w:r w:rsidRPr="0018025B">
        <w:rPr>
          <w:sz w:val="20"/>
          <w:szCs w:val="20"/>
        </w:rPr>
        <w:t>AHK Slowakei len po dohode s uchádzačom a s jeho súhlasom.</w:t>
      </w:r>
    </w:p>
    <w:p w14:paraId="2B967A0B" w14:textId="3A1EA08D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8.6. AHK Slowakei zabezpečí prístupnosť webovej stránky Cena vzdelávania</w:t>
      </w:r>
      <w:r w:rsidR="0007134B">
        <w:rPr>
          <w:sz w:val="20"/>
          <w:szCs w:val="20"/>
        </w:rPr>
        <w:t xml:space="preserve"> AHK Slowakei</w:t>
      </w:r>
      <w:r w:rsidRPr="0018025B">
        <w:rPr>
          <w:sz w:val="20"/>
          <w:szCs w:val="20"/>
        </w:rPr>
        <w:t>, ako aj prístupnosť informácií poskytnutých účastníkmi, všetkými technicky možnými prostriedkami.</w:t>
      </w:r>
      <w:r w:rsidR="00B46379">
        <w:rPr>
          <w:sz w:val="20"/>
          <w:szCs w:val="20"/>
        </w:rPr>
        <w:br/>
      </w:r>
    </w:p>
    <w:p w14:paraId="0E498883" w14:textId="6D983A1A" w:rsidR="004F5B63" w:rsidRDefault="004F5B63" w:rsidP="00B46379">
      <w:pPr>
        <w:rPr>
          <w:b/>
          <w:bCs/>
          <w:color w:val="003366"/>
        </w:rPr>
      </w:pPr>
      <w:r w:rsidRPr="0018025B">
        <w:rPr>
          <w:b/>
          <w:bCs/>
          <w:color w:val="003366"/>
        </w:rPr>
        <w:t>9. Použitie Ceny</w:t>
      </w:r>
    </w:p>
    <w:p w14:paraId="235CFDFE" w14:textId="77777777" w:rsidR="009E3D11" w:rsidRPr="00B46379" w:rsidRDefault="009E3D11" w:rsidP="00B46379">
      <w:pPr>
        <w:rPr>
          <w:color w:val="FF0000"/>
          <w:sz w:val="20"/>
          <w:szCs w:val="20"/>
        </w:rPr>
      </w:pPr>
    </w:p>
    <w:p w14:paraId="3606B20D" w14:textId="0D6B46CA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9.1</w:t>
      </w:r>
      <w:r w:rsidR="00164B51">
        <w:rPr>
          <w:sz w:val="20"/>
          <w:szCs w:val="20"/>
        </w:rPr>
        <w:t>.</w:t>
      </w:r>
      <w:r w:rsidRPr="0018025B">
        <w:rPr>
          <w:sz w:val="20"/>
          <w:szCs w:val="20"/>
        </w:rPr>
        <w:t xml:space="preserve"> Účastníci a výhercovia sú oprávnení použiť Cenu vo vlastnej komunikácii. Na tento účel môžu byť použité všetky informácie zverejnené na webovej stránke AHK Slowakei. Názov ceny je "Cena vzdelávania AHK Slowakei".</w:t>
      </w:r>
    </w:p>
    <w:p w14:paraId="64352720" w14:textId="2216B5B7" w:rsidR="004F5B63" w:rsidRDefault="004F5B63" w:rsidP="009E3D11">
      <w:pPr>
        <w:spacing w:after="120" w:line="276" w:lineRule="auto"/>
        <w:contextualSpacing/>
        <w:jc w:val="both"/>
        <w:rPr>
          <w:sz w:val="20"/>
          <w:szCs w:val="20"/>
        </w:rPr>
      </w:pPr>
      <w:r w:rsidRPr="0018025B">
        <w:rPr>
          <w:sz w:val="20"/>
          <w:szCs w:val="20"/>
        </w:rPr>
        <w:t xml:space="preserve">9.2. Ceny budú </w:t>
      </w:r>
      <w:r w:rsidRPr="00367C83">
        <w:rPr>
          <w:sz w:val="20"/>
          <w:szCs w:val="20"/>
        </w:rPr>
        <w:t>udelené prvým oceneným projektom v každej určenej kategórii.</w:t>
      </w:r>
      <w:r w:rsidRPr="0018025B">
        <w:rPr>
          <w:sz w:val="20"/>
          <w:szCs w:val="20"/>
        </w:rPr>
        <w:t xml:space="preserve"> </w:t>
      </w:r>
    </w:p>
    <w:p w14:paraId="58164142" w14:textId="77777777" w:rsidR="00C76F3E" w:rsidRDefault="00C76F3E" w:rsidP="004F5B63">
      <w:pPr>
        <w:spacing w:after="120" w:line="276" w:lineRule="auto"/>
        <w:rPr>
          <w:sz w:val="20"/>
          <w:szCs w:val="20"/>
        </w:rPr>
      </w:pPr>
    </w:p>
    <w:p w14:paraId="662AD555" w14:textId="3E3A27D1" w:rsidR="004F5B63" w:rsidRPr="0018025B" w:rsidRDefault="004F5B63" w:rsidP="004F5B63">
      <w:pPr>
        <w:spacing w:after="120" w:line="276" w:lineRule="auto"/>
        <w:rPr>
          <w:b/>
          <w:bCs/>
          <w:color w:val="003366"/>
        </w:rPr>
      </w:pPr>
      <w:r w:rsidRPr="0018025B">
        <w:rPr>
          <w:b/>
          <w:bCs/>
          <w:color w:val="003366"/>
        </w:rPr>
        <w:t>10. Porušenie podmienok účasti</w:t>
      </w:r>
    </w:p>
    <w:p w14:paraId="14470E80" w14:textId="643209EF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10.1</w:t>
      </w:r>
      <w:r w:rsidR="00B74DE4" w:rsidRPr="0018025B">
        <w:rPr>
          <w:sz w:val="20"/>
          <w:szCs w:val="20"/>
        </w:rPr>
        <w:t>.</w:t>
      </w:r>
      <w:r w:rsidRPr="0018025B">
        <w:rPr>
          <w:sz w:val="20"/>
          <w:szCs w:val="20"/>
        </w:rPr>
        <w:t xml:space="preserve"> V prípade porušenia týchto podmienok účasti môže byť uchádzač zo súťaže vylúčený. AHK Slowakei si tiež vyhradzuje právo podniknúť ďalšie právne kroky.</w:t>
      </w:r>
    </w:p>
    <w:p w14:paraId="0503F834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10.2. Ak sa o závažnom porušení podmienok účasti dozvie porota alebo organizátor až po udelení Ceny, Cena môže byť následne odňatá. V takom prípade zanikajú všetky práva účastníka na využívanie Ceny, ako je uvedené v bode 9.</w:t>
      </w:r>
    </w:p>
    <w:p w14:paraId="0455A31C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</w:p>
    <w:p w14:paraId="645F0FD5" w14:textId="77777777" w:rsidR="004F5B63" w:rsidRPr="0018025B" w:rsidRDefault="004F5B63" w:rsidP="004F5B63">
      <w:pPr>
        <w:spacing w:after="120" w:line="276" w:lineRule="auto"/>
        <w:rPr>
          <w:b/>
          <w:bCs/>
          <w:color w:val="003366"/>
        </w:rPr>
      </w:pPr>
      <w:r w:rsidRPr="0018025B">
        <w:rPr>
          <w:b/>
          <w:bCs/>
          <w:color w:val="003366"/>
        </w:rPr>
        <w:t>11. Ostatné ustanovenia</w:t>
      </w:r>
    </w:p>
    <w:p w14:paraId="2DEF5418" w14:textId="6EB3FCD9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11.1</w:t>
      </w:r>
      <w:r w:rsidR="00B74DE4" w:rsidRPr="0018025B">
        <w:rPr>
          <w:sz w:val="20"/>
          <w:szCs w:val="20"/>
        </w:rPr>
        <w:t>.</w:t>
      </w:r>
      <w:r w:rsidRPr="0018025B">
        <w:rPr>
          <w:sz w:val="20"/>
          <w:szCs w:val="20"/>
        </w:rPr>
        <w:t xml:space="preserve"> AHK Slowakei si vyhradzuje právo kedykoľvek pozastaviť alebo ukončiť súťaž.</w:t>
      </w:r>
    </w:p>
    <w:p w14:paraId="5179DDE8" w14:textId="4BC93CFB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11.2</w:t>
      </w:r>
      <w:r w:rsidR="00B74DE4" w:rsidRPr="0018025B">
        <w:rPr>
          <w:sz w:val="20"/>
          <w:szCs w:val="20"/>
        </w:rPr>
        <w:t>.</w:t>
      </w:r>
      <w:r w:rsidRPr="0018025B">
        <w:rPr>
          <w:sz w:val="20"/>
          <w:szCs w:val="20"/>
        </w:rPr>
        <w:t xml:space="preserve"> Tieto podmienky účasti zostávajú v platnosti aj v prípade, že niektoré z ich ustanovení</w:t>
      </w:r>
      <w:r w:rsidR="001C41A3">
        <w:rPr>
          <w:sz w:val="20"/>
          <w:szCs w:val="20"/>
        </w:rPr>
        <w:t xml:space="preserve"> sa zmenia</w:t>
      </w:r>
      <w:r w:rsidR="009B791D">
        <w:rPr>
          <w:sz w:val="20"/>
          <w:szCs w:val="20"/>
        </w:rPr>
        <w:t>,</w:t>
      </w:r>
      <w:r w:rsidRPr="0018025B">
        <w:rPr>
          <w:sz w:val="20"/>
          <w:szCs w:val="20"/>
        </w:rPr>
        <w:t xml:space="preserve"> alebo sa stanú neplatnými.</w:t>
      </w:r>
    </w:p>
    <w:p w14:paraId="4B42E82B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 xml:space="preserve">11.3. Rozhodujúcim právom je slovenské právo. </w:t>
      </w:r>
    </w:p>
    <w:p w14:paraId="60D1A01F" w14:textId="58889D59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>11.4. AHK Slowakei si vyhradzuje právo jednostranne zmeniť tieto Podmienky účasti. Aktuálne Podmienky účasti budú zverejnené na webovej stránke. Pravidelne kontrolujte prípadné revidované verzie.</w:t>
      </w:r>
    </w:p>
    <w:p w14:paraId="64F8B1AE" w14:textId="77777777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</w:p>
    <w:p w14:paraId="33C55A0C" w14:textId="77777777" w:rsidR="004F5B63" w:rsidRPr="0018025B" w:rsidRDefault="004F5B63" w:rsidP="004F5B63">
      <w:pPr>
        <w:spacing w:after="120" w:line="276" w:lineRule="auto"/>
        <w:rPr>
          <w:b/>
          <w:bCs/>
          <w:color w:val="003366"/>
        </w:rPr>
      </w:pPr>
      <w:r w:rsidRPr="0018025B">
        <w:rPr>
          <w:b/>
          <w:bCs/>
          <w:color w:val="003366"/>
        </w:rPr>
        <w:t>12. Ochrana údajov</w:t>
      </w:r>
    </w:p>
    <w:p w14:paraId="351C3F2C" w14:textId="318D06EF" w:rsidR="004F5B63" w:rsidRPr="0018025B" w:rsidRDefault="004F5B63" w:rsidP="004F5B63">
      <w:pPr>
        <w:spacing w:after="120" w:line="276" w:lineRule="auto"/>
        <w:rPr>
          <w:sz w:val="20"/>
          <w:szCs w:val="20"/>
        </w:rPr>
      </w:pPr>
      <w:r w:rsidRPr="0018025B">
        <w:rPr>
          <w:sz w:val="20"/>
          <w:szCs w:val="20"/>
        </w:rPr>
        <w:t xml:space="preserve">Súťaž o Cenu </w:t>
      </w:r>
      <w:r w:rsidR="0007134B">
        <w:rPr>
          <w:sz w:val="20"/>
          <w:szCs w:val="20"/>
        </w:rPr>
        <w:t>vzdelávania</w:t>
      </w:r>
      <w:r w:rsidRPr="0018025B">
        <w:rPr>
          <w:sz w:val="20"/>
          <w:szCs w:val="20"/>
        </w:rPr>
        <w:t xml:space="preserve"> AHK Slowakei a webová stránka www.slowakei.ahk.de sú majetkom Slovensko-nemeckej obchodnej a priemyselnej komory a ochrana osobných údajov sa riadi zásadami ochrany osobných údajov komory. Prihlásením sa do súťaže súhlasíte s uvedenými podmienkami účasti a so zásadami ochrany osobných údajov.</w:t>
      </w:r>
    </w:p>
    <w:p w14:paraId="17B05966" w14:textId="77777777" w:rsidR="004F5B63" w:rsidRPr="0018025B" w:rsidRDefault="004F5B63" w:rsidP="004F5B63">
      <w:pPr>
        <w:rPr>
          <w:sz w:val="20"/>
          <w:szCs w:val="20"/>
        </w:rPr>
      </w:pPr>
    </w:p>
    <w:p w14:paraId="284EF418" w14:textId="77777777" w:rsidR="00444D8B" w:rsidRPr="0018025B" w:rsidRDefault="00444D8B" w:rsidP="00AE4FF6">
      <w:pPr>
        <w:spacing w:after="120" w:line="276" w:lineRule="auto"/>
        <w:rPr>
          <w:sz w:val="20"/>
          <w:szCs w:val="20"/>
        </w:rPr>
      </w:pPr>
    </w:p>
    <w:sectPr w:rsidR="00444D8B" w:rsidRPr="0018025B" w:rsidSect="006B375C">
      <w:footerReference w:type="default" r:id="rId13"/>
      <w:footerReference w:type="first" r:id="rId14"/>
      <w:pgSz w:w="11900" w:h="16840"/>
      <w:pgMar w:top="1417" w:right="1127" w:bottom="230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AD30" w14:textId="77777777" w:rsidR="0024310F" w:rsidRPr="0018025B" w:rsidRDefault="0024310F" w:rsidP="00D12CF9">
      <w:r w:rsidRPr="0018025B">
        <w:separator/>
      </w:r>
    </w:p>
  </w:endnote>
  <w:endnote w:type="continuationSeparator" w:id="0">
    <w:p w14:paraId="09AB5099" w14:textId="77777777" w:rsidR="0024310F" w:rsidRPr="0018025B" w:rsidRDefault="0024310F" w:rsidP="00D12CF9">
      <w:r w:rsidRPr="0018025B">
        <w:continuationSeparator/>
      </w:r>
    </w:p>
  </w:endnote>
  <w:endnote w:type="continuationNotice" w:id="1">
    <w:p w14:paraId="02DFD978" w14:textId="77777777" w:rsidR="0024310F" w:rsidRPr="0018025B" w:rsidRDefault="00243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Times New Roman (TextkA�rper 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C8EC" w14:textId="77777777" w:rsidR="001C6175" w:rsidRPr="0018025B" w:rsidRDefault="001C6175">
    <w:pPr/>
    <w:r w:rsidRPr="0018025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4CF07A" wp14:editId="77B250E2">
              <wp:simplePos x="0" y="0"/>
              <wp:positionH relativeFrom="column">
                <wp:posOffset>2792034</wp:posOffset>
              </wp:positionH>
              <wp:positionV relativeFrom="paragraph">
                <wp:posOffset>-241528</wp:posOffset>
              </wp:positionV>
              <wp:extent cx="3241964" cy="621010"/>
              <wp:effectExtent l="0" t="0" r="0" b="0"/>
              <wp:wrapNone/>
              <wp:docPr id="2" name="Textové pole 2">
                <a:extLst xmlns:a="http://schemas.openxmlformats.org/drawingml/2006/main">
                  <a:ext uri="{FF2B5EF4-FFF2-40B4-BE49-F238E27FC236}">
                    <a16:creationId xmlns:a16="http://schemas.microsoft.com/office/drawing/2014/main" id="{A0233426-149B-4F5C-99A9-9397D73238F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1964" cy="62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4256CE" w14:textId="77777777" w:rsidR="001C6175" w:rsidRPr="0018025B" w:rsidRDefault="001C6175" w:rsidP="0028539B">
                          <w:pPr>
                            <w:pStyle w:val="AHK-Seitenzahl"/>
                            <w:ind w:left="1416" w:firstLine="708"/>
                          </w:pPr>
                          <w:r w:rsidRPr="0018025B">
                            <w:t>Cena  vzdelávania AHK Slowakei</w:t>
                          </w:r>
                          <w:r w:rsidRPr="0018025B">
                            <w:tab/>
                          </w:r>
                          <w:r w:rsidRPr="0018025B">
                            <w:tab/>
                          </w:r>
                          <w:r w:rsidRPr="0018025B">
                            <w:tab/>
                          </w:r>
                          <w:r w:rsidRPr="0018025B">
                            <w:tab/>
                          </w:r>
                          <w:r w:rsidRPr="0018025B">
                            <w:tab/>
                            <w:t xml:space="preserve">Strana  </w:t>
                          </w:r>
                          <w:r w:rsidRPr="0018025B">
                            <w:fldChar w:fldCharType="begin"/>
                          </w:r>
                          <w:r w:rsidRPr="0018025B">
                            <w:instrText>PAGE  \* Arabic  \* MERGEFORMAT</w:instrText>
                          </w:r>
                          <w:r w:rsidRPr="0018025B">
                            <w:fldChar w:fldCharType="separate"/>
                          </w:r>
                          <w:r w:rsidRPr="0018025B">
                            <w:t>1</w:t>
                          </w:r>
                          <w:r w:rsidRPr="0018025B">
                            <w:fldChar w:fldCharType="end"/>
                          </w:r>
                          <w:r w:rsidRPr="0018025B">
                            <w:t xml:space="preserve"> z </w:t>
                          </w:r>
                          <w:fldSimple w:instr="NUMPAGES  \* Arabic  \* MERGEFORMAT">
                            <w:r w:rsidRPr="0018025B"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4CF07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219.85pt;margin-top:-19pt;width:255.25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Y5FgIAACwEAAAOAAAAZHJzL2Uyb0RvYy54bWysU02P2yAQvVfqf0DcG8fZbNq14qzSXaWq&#10;FO2ulK32TDDEloChQGKnv74Ddj607anqBQ/M+A3z3mN+32lFDsL5BkxJ89GYEmE4VI3ZlfTH6+rT&#10;F0p8YKZiCowo6VF4er/4+GHe2kJMoAZVCUcQxPiitSWtQ7BFlnleC838CKwwmJTgNAu4dbuscqxF&#10;dK2yyXg8y1pwlXXAhfd4+tgn6SLhSyl4eJbSi0BUSfFuIa0urdu4Zos5K3aO2brhwzXYP9xCs8Zg&#10;0zPUIwuM7F3zB5RuuAMPMow46AykbLhIM+A0+fjdNJuaWZFmQXK8PdPk/x8sfzps7IsjofsKHQoY&#10;CWmtLzwexnk66XT84k0J5pHC45k20QXC8fBmMs3vZlNKOOZmkxwHiTDZ5W/rfPgmQJMYlNShLIkt&#10;dlj70JeeSmIzA6tGqSSNMqRF0JvbcfrhnEFwZbDH5a4xCt22GwbYQnXEuRz0knvLVw02XzMfXphD&#10;jXEU9G14xkUqwCYwRJTU4H797TzWI/WYpaRFz5TU/9wzJyhR3w2KcpdPp9FkaTO9/TzBjbvObK8z&#10;Zq8fAG2Z4wuxPIWxPqhTKB3oN7T3MnbFFDMce5c0nMKH0DsZnwcXy2UqQltZFtZmY3mEjnRGal+7&#10;N+bswH9A5Z7g5C5WvJOhr+2FWO4DyCZpFAnuWR14R0smlYfnEz1/vU9Vl0e++A0AAP//AwBQSwME&#10;FAAGAAgAAAAhABjN433iAAAACgEAAA8AAABkcnMvZG93bnJldi54bWxMj01Pg0AURfcm/ofJM3HX&#10;DlJRoAxNQ9KYGLto7aa7B/MKxPlAZtqiv95xpcuXd3LvucVq0opdaHS9NQIe5hEwMo2VvWkFHN43&#10;sxSY82gkKmtIwBc5WJW3NwXm0l7Nji5737IQYlyOAjrvh5xz13Sk0c3tQCb8TnbU6MM5tlyOeA3h&#10;WvE4ip64xt6Ehg4HqjpqPvZnLeC12mxxV8c6/VbVy9tpPXwejokQ93fTegnM0+T/YPjVD+pQBqfa&#10;no10TAl4XGTPARUwW6RhVCCyJIqB1QKSLAVeFvz/hPIHAAD//wMAUEsBAi0AFAAGAAgAAAAhALaD&#10;OJL+AAAA4QEAABMAAAAAAAAAAAAAAAAAAAAAAFtDb250ZW50X1R5cGVzXS54bWxQSwECLQAUAAYA&#10;CAAAACEAOP0h/9YAAACUAQAACwAAAAAAAAAAAAAAAAAvAQAAX3JlbHMvLnJlbHNQSwECLQAUAAYA&#10;CAAAACEAzxiWORYCAAAsBAAADgAAAAAAAAAAAAAAAAAuAgAAZHJzL2Uyb0RvYy54bWxQSwECLQAU&#10;AAYACAAAACEAGM3jfeIAAAAKAQAADwAAAAAAAAAAAAAAAABwBAAAZHJzL2Rvd25yZXYueG1sUEsF&#10;BgAAAAAEAAQA8wAAAH8FAAAAAA==&#10;" filled="f" stroked="f" strokeweight=".5pt">
              <v:textbox>
                <w:txbxContent>
                  <w:p w14:paraId="014256CE" w14:textId="77777777" w:rsidR="001C6175" w:rsidRPr="0018025B" w:rsidRDefault="001C6175" w:rsidP="0028539B">
                    <w:pPr>
                      <w:pStyle w:val="AHK-Seitenzahl"/>
                      <w:ind w:left="1416" w:firstLine="708"/>
                    </w:pPr>
                    <w:r w:rsidRPr="0018025B">
                      <w:t>Cena  vzdelávania AHK Slowakei</w:t>
                    </w:r>
                    <w:r w:rsidRPr="0018025B">
                      <w:tab/>
                    </w:r>
                    <w:r w:rsidRPr="0018025B">
                      <w:tab/>
                    </w:r>
                    <w:r w:rsidRPr="0018025B">
                      <w:tab/>
                    </w:r>
                    <w:r w:rsidRPr="0018025B">
                      <w:tab/>
                    </w:r>
                    <w:r w:rsidRPr="0018025B">
                      <w:tab/>
                      <w:t xml:space="preserve">Strana  </w:t>
                    </w:r>
                    <w:r w:rsidRPr="0018025B">
                      <w:fldChar w:fldCharType="begin"/>
                    </w:r>
                    <w:r w:rsidRPr="0018025B">
                      <w:instrText>PAGE  \* Arabic  \* MERGEFORMAT</w:instrText>
                    </w:r>
                    <w:r w:rsidRPr="0018025B">
                      <w:fldChar w:fldCharType="separate"/>
                    </w:r>
                    <w:r w:rsidRPr="0018025B">
                      <w:t>1</w:t>
                    </w:r>
                    <w:r w:rsidRPr="0018025B">
                      <w:fldChar w:fldCharType="end"/>
                    </w:r>
                    <w:r w:rsidRPr="0018025B">
                      <w:t xml:space="preserve"> z </w:t>
                    </w:r>
                    <w:fldSimple w:instr="NUMPAGES  \* Arabic  \* MERGEFORMAT">
                      <w:r w:rsidRPr="0018025B"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  <w:r w:rsidRPr="0018025B">
      <w:rPr>
        <w:noProof/>
      </w:rPr>
      <w:drawing>
        <wp:inline distT="0" distB="0" distL="0" distR="0" wp14:anchorId="0ED5E2C5" wp14:editId="3E694C00">
          <wp:extent cx="2439063" cy="469127"/>
          <wp:effectExtent l="0" t="0" r="0" b="7620"/>
          <wp:docPr id="1157837865" name="Obrázok 1157837865">
            <a:extLst xmlns:a="http://schemas.openxmlformats.org/drawingml/2006/main">
              <a:ext uri="{FF2B5EF4-FFF2-40B4-BE49-F238E27FC236}">
                <a16:creationId xmlns:a16="http://schemas.microsoft.com/office/drawing/2014/main" id="{3C07A8F5-86CA-44CF-BF1F-10DA52AE73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HK Logo web 2454x47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658" cy="493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5C97" w14:textId="77777777" w:rsidR="001C6175" w:rsidRPr="0018025B" w:rsidRDefault="001C6175">
    <w:pPr/>
    <w:r w:rsidRPr="0018025B">
      <w:rPr>
        <w:noProof/>
      </w:rPr>
      <w:drawing>
        <wp:inline distT="0" distB="0" distL="0" distR="0" wp14:anchorId="68956AD3" wp14:editId="472FFDCA">
          <wp:extent cx="2439063" cy="469127"/>
          <wp:effectExtent l="0" t="0" r="0" b="7620"/>
          <wp:docPr id="182237070" name="Obrázok 182237070">
            <a:extLst xmlns:a="http://schemas.openxmlformats.org/drawingml/2006/main">
              <a:ext uri="{FF2B5EF4-FFF2-40B4-BE49-F238E27FC236}">
                <a16:creationId xmlns:a16="http://schemas.microsoft.com/office/drawing/2014/main" id="{63AA805B-ADF9-4F93-B2D2-5E542BD2F9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HK Logo web 2454x47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658" cy="493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F332" w14:textId="77777777" w:rsidR="0024310F" w:rsidRPr="0018025B" w:rsidRDefault="0024310F" w:rsidP="00D12CF9">
      <w:r w:rsidRPr="0018025B">
        <w:separator/>
      </w:r>
    </w:p>
  </w:footnote>
  <w:footnote w:type="continuationSeparator" w:id="0">
    <w:p w14:paraId="2BA743E3" w14:textId="77777777" w:rsidR="0024310F" w:rsidRPr="0018025B" w:rsidRDefault="0024310F" w:rsidP="00D12CF9">
      <w:r w:rsidRPr="0018025B">
        <w:continuationSeparator/>
      </w:r>
    </w:p>
  </w:footnote>
  <w:footnote w:type="continuationNotice" w:id="1">
    <w:p w14:paraId="2E7C32EB" w14:textId="77777777" w:rsidR="0024310F" w:rsidRPr="0018025B" w:rsidRDefault="002431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575"/>
    <w:multiLevelType w:val="hybridMultilevel"/>
    <w:tmpl w:val="1F4CF842"/>
    <w:lvl w:ilvl="0" w:tplc="22F8F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5233"/>
    <w:multiLevelType w:val="hybridMultilevel"/>
    <w:tmpl w:val="DBA83576"/>
    <w:lvl w:ilvl="0" w:tplc="4F2CC2FC">
      <w:start w:val="16"/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530C"/>
    <w:multiLevelType w:val="multilevel"/>
    <w:tmpl w:val="87B4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93A8E"/>
    <w:multiLevelType w:val="hybridMultilevel"/>
    <w:tmpl w:val="11BE21B2"/>
    <w:lvl w:ilvl="0" w:tplc="3D2C2C0C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Times New Roman (Textkörper CS)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17BB3"/>
    <w:multiLevelType w:val="hybridMultilevel"/>
    <w:tmpl w:val="94BA3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93188"/>
    <w:multiLevelType w:val="hybridMultilevel"/>
    <w:tmpl w:val="D4127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30F7B"/>
    <w:multiLevelType w:val="hybridMultilevel"/>
    <w:tmpl w:val="54662E72"/>
    <w:lvl w:ilvl="0" w:tplc="EC368114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445DC"/>
    <w:multiLevelType w:val="hybridMultilevel"/>
    <w:tmpl w:val="DADCEE1C"/>
    <w:lvl w:ilvl="0" w:tplc="B522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96778"/>
    <w:multiLevelType w:val="hybridMultilevel"/>
    <w:tmpl w:val="8D1E40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93211"/>
    <w:multiLevelType w:val="hybridMultilevel"/>
    <w:tmpl w:val="D41482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F608E"/>
    <w:multiLevelType w:val="hybridMultilevel"/>
    <w:tmpl w:val="66B48834"/>
    <w:lvl w:ilvl="0" w:tplc="3C8C4CAC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331F9"/>
    <w:multiLevelType w:val="multilevel"/>
    <w:tmpl w:val="BE2A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6B436D"/>
    <w:multiLevelType w:val="multilevel"/>
    <w:tmpl w:val="0142C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6A4A6895"/>
    <w:multiLevelType w:val="hybridMultilevel"/>
    <w:tmpl w:val="B504FF5E"/>
    <w:lvl w:ilvl="0" w:tplc="F236BA6E">
      <w:start w:val="16"/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9759E"/>
    <w:multiLevelType w:val="hybridMultilevel"/>
    <w:tmpl w:val="F4307F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61D89"/>
    <w:multiLevelType w:val="hybridMultilevel"/>
    <w:tmpl w:val="EA7E69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248B6"/>
    <w:multiLevelType w:val="hybridMultilevel"/>
    <w:tmpl w:val="64663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21590"/>
    <w:multiLevelType w:val="hybridMultilevel"/>
    <w:tmpl w:val="106681DA"/>
    <w:lvl w:ilvl="0" w:tplc="E78A3E94">
      <w:start w:val="1"/>
      <w:numFmt w:val="bullet"/>
      <w:pStyle w:val="AHK-Tabelle-Aufzhlung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A6CD1"/>
    <w:multiLevelType w:val="hybridMultilevel"/>
    <w:tmpl w:val="3C46921C"/>
    <w:lvl w:ilvl="0" w:tplc="D02A97CE">
      <w:start w:val="16"/>
      <w:numFmt w:val="bullet"/>
      <w:lvlText w:val="-"/>
      <w:lvlJc w:val="left"/>
      <w:pPr>
        <w:ind w:left="530" w:hanging="360"/>
      </w:pPr>
      <w:rPr>
        <w:rFonts w:ascii="Source Sans Pro Light" w:eastAsia="Times New Roman" w:hAnsi="Source Sans Pro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045561677">
    <w:abstractNumId w:val="2"/>
  </w:num>
  <w:num w:numId="2" w16cid:durableId="1061830421">
    <w:abstractNumId w:val="12"/>
  </w:num>
  <w:num w:numId="3" w16cid:durableId="1116482920">
    <w:abstractNumId w:val="4"/>
  </w:num>
  <w:num w:numId="4" w16cid:durableId="1421413478">
    <w:abstractNumId w:val="1"/>
  </w:num>
  <w:num w:numId="5" w16cid:durableId="1502429400">
    <w:abstractNumId w:val="18"/>
  </w:num>
  <w:num w:numId="6" w16cid:durableId="1594435277">
    <w:abstractNumId w:val="8"/>
  </w:num>
  <w:num w:numId="7" w16cid:durableId="1833911025">
    <w:abstractNumId w:val="14"/>
  </w:num>
  <w:num w:numId="8" w16cid:durableId="1886406208">
    <w:abstractNumId w:val="7"/>
  </w:num>
  <w:num w:numId="9" w16cid:durableId="2093768380">
    <w:abstractNumId w:val="17"/>
  </w:num>
  <w:num w:numId="10" w16cid:durableId="298071396">
    <w:abstractNumId w:val="0"/>
  </w:num>
  <w:num w:numId="11" w16cid:durableId="305086179">
    <w:abstractNumId w:val="9"/>
  </w:num>
  <w:num w:numId="12" w16cid:durableId="514732458">
    <w:abstractNumId w:val="6"/>
  </w:num>
  <w:num w:numId="13" w16cid:durableId="562449725">
    <w:abstractNumId w:val="11"/>
  </w:num>
  <w:num w:numId="14" w16cid:durableId="588392720">
    <w:abstractNumId w:val="16"/>
  </w:num>
  <w:num w:numId="15" w16cid:durableId="596521513">
    <w:abstractNumId w:val="13"/>
  </w:num>
  <w:num w:numId="16" w16cid:durableId="703332575">
    <w:abstractNumId w:val="5"/>
  </w:num>
  <w:num w:numId="17" w16cid:durableId="704986393">
    <w:abstractNumId w:val="3"/>
  </w:num>
  <w:num w:numId="18" w16cid:durableId="760495137">
    <w:abstractNumId w:val="15"/>
  </w:num>
  <w:num w:numId="19" w16cid:durableId="973412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F9"/>
    <w:rsid w:val="000033B2"/>
    <w:rsid w:val="00022003"/>
    <w:rsid w:val="00024B28"/>
    <w:rsid w:val="00025871"/>
    <w:rsid w:val="000277F6"/>
    <w:rsid w:val="00051D61"/>
    <w:rsid w:val="00057488"/>
    <w:rsid w:val="00061394"/>
    <w:rsid w:val="00070D35"/>
    <w:rsid w:val="0007134B"/>
    <w:rsid w:val="00082726"/>
    <w:rsid w:val="00090A12"/>
    <w:rsid w:val="0009122C"/>
    <w:rsid w:val="000A4D1B"/>
    <w:rsid w:val="000C16A3"/>
    <w:rsid w:val="000E235C"/>
    <w:rsid w:val="000F6315"/>
    <w:rsid w:val="00102606"/>
    <w:rsid w:val="00106570"/>
    <w:rsid w:val="00120F66"/>
    <w:rsid w:val="001230FC"/>
    <w:rsid w:val="00135425"/>
    <w:rsid w:val="00141128"/>
    <w:rsid w:val="0014206A"/>
    <w:rsid w:val="00145E85"/>
    <w:rsid w:val="00146DF9"/>
    <w:rsid w:val="00147399"/>
    <w:rsid w:val="001572D3"/>
    <w:rsid w:val="00163910"/>
    <w:rsid w:val="00164B51"/>
    <w:rsid w:val="001740FE"/>
    <w:rsid w:val="0018025B"/>
    <w:rsid w:val="00183458"/>
    <w:rsid w:val="00190C65"/>
    <w:rsid w:val="0019393B"/>
    <w:rsid w:val="0019476C"/>
    <w:rsid w:val="001A32E3"/>
    <w:rsid w:val="001C41A3"/>
    <w:rsid w:val="001C595A"/>
    <w:rsid w:val="001C6175"/>
    <w:rsid w:val="001C6B5C"/>
    <w:rsid w:val="001E183D"/>
    <w:rsid w:val="001F5A3E"/>
    <w:rsid w:val="00214BC8"/>
    <w:rsid w:val="00214C40"/>
    <w:rsid w:val="00222CC3"/>
    <w:rsid w:val="0024310F"/>
    <w:rsid w:val="00254B49"/>
    <w:rsid w:val="00255173"/>
    <w:rsid w:val="00256A78"/>
    <w:rsid w:val="002622AC"/>
    <w:rsid w:val="00264DA6"/>
    <w:rsid w:val="002677CC"/>
    <w:rsid w:val="00275CBE"/>
    <w:rsid w:val="0028539B"/>
    <w:rsid w:val="00290FDB"/>
    <w:rsid w:val="002B676E"/>
    <w:rsid w:val="002C1911"/>
    <w:rsid w:val="002C266D"/>
    <w:rsid w:val="002C5C42"/>
    <w:rsid w:val="002D13AD"/>
    <w:rsid w:val="002D61FF"/>
    <w:rsid w:val="002F10A7"/>
    <w:rsid w:val="00302C86"/>
    <w:rsid w:val="0030383B"/>
    <w:rsid w:val="003154AD"/>
    <w:rsid w:val="00341742"/>
    <w:rsid w:val="003516D0"/>
    <w:rsid w:val="00353B8F"/>
    <w:rsid w:val="0036098E"/>
    <w:rsid w:val="003611D6"/>
    <w:rsid w:val="00367C83"/>
    <w:rsid w:val="00372569"/>
    <w:rsid w:val="00377E3D"/>
    <w:rsid w:val="003A1F3E"/>
    <w:rsid w:val="003B618C"/>
    <w:rsid w:val="003C25E7"/>
    <w:rsid w:val="003C3D6C"/>
    <w:rsid w:val="003C630F"/>
    <w:rsid w:val="003E1E92"/>
    <w:rsid w:val="003E2A32"/>
    <w:rsid w:val="003E47C2"/>
    <w:rsid w:val="003F22FA"/>
    <w:rsid w:val="00423851"/>
    <w:rsid w:val="00444D8B"/>
    <w:rsid w:val="00446282"/>
    <w:rsid w:val="00455D11"/>
    <w:rsid w:val="0046493B"/>
    <w:rsid w:val="00470FCC"/>
    <w:rsid w:val="004B729B"/>
    <w:rsid w:val="004E03F3"/>
    <w:rsid w:val="004E1B0D"/>
    <w:rsid w:val="004F25D0"/>
    <w:rsid w:val="004F5B63"/>
    <w:rsid w:val="004F7F21"/>
    <w:rsid w:val="005009A5"/>
    <w:rsid w:val="00507604"/>
    <w:rsid w:val="00512219"/>
    <w:rsid w:val="00513A85"/>
    <w:rsid w:val="0052522B"/>
    <w:rsid w:val="0055776C"/>
    <w:rsid w:val="0058476C"/>
    <w:rsid w:val="005B40BE"/>
    <w:rsid w:val="005C5BA2"/>
    <w:rsid w:val="005E0923"/>
    <w:rsid w:val="005F12CB"/>
    <w:rsid w:val="005F34A2"/>
    <w:rsid w:val="005F484E"/>
    <w:rsid w:val="005F6D8E"/>
    <w:rsid w:val="00606528"/>
    <w:rsid w:val="00620327"/>
    <w:rsid w:val="00621666"/>
    <w:rsid w:val="00634B87"/>
    <w:rsid w:val="006439AE"/>
    <w:rsid w:val="00646CD2"/>
    <w:rsid w:val="00660C91"/>
    <w:rsid w:val="00695BB4"/>
    <w:rsid w:val="006B375C"/>
    <w:rsid w:val="006C4755"/>
    <w:rsid w:val="006D2FC8"/>
    <w:rsid w:val="006D644A"/>
    <w:rsid w:val="006F673F"/>
    <w:rsid w:val="007044CC"/>
    <w:rsid w:val="007124A4"/>
    <w:rsid w:val="0076209B"/>
    <w:rsid w:val="00791A4D"/>
    <w:rsid w:val="007A2A09"/>
    <w:rsid w:val="007C1D6F"/>
    <w:rsid w:val="007C3058"/>
    <w:rsid w:val="007E36B8"/>
    <w:rsid w:val="007F13A0"/>
    <w:rsid w:val="007F6EA0"/>
    <w:rsid w:val="00800062"/>
    <w:rsid w:val="008112B1"/>
    <w:rsid w:val="00827739"/>
    <w:rsid w:val="00832304"/>
    <w:rsid w:val="00845ABA"/>
    <w:rsid w:val="00872844"/>
    <w:rsid w:val="00890EC6"/>
    <w:rsid w:val="008A271A"/>
    <w:rsid w:val="008A5BEB"/>
    <w:rsid w:val="008E45AD"/>
    <w:rsid w:val="008E6F38"/>
    <w:rsid w:val="008F39E7"/>
    <w:rsid w:val="008F495A"/>
    <w:rsid w:val="00914FF7"/>
    <w:rsid w:val="00932FA9"/>
    <w:rsid w:val="00934267"/>
    <w:rsid w:val="009456F3"/>
    <w:rsid w:val="00945F24"/>
    <w:rsid w:val="00963B24"/>
    <w:rsid w:val="0098144D"/>
    <w:rsid w:val="00996427"/>
    <w:rsid w:val="009A0602"/>
    <w:rsid w:val="009A267C"/>
    <w:rsid w:val="009A4F67"/>
    <w:rsid w:val="009B0E16"/>
    <w:rsid w:val="009B790D"/>
    <w:rsid w:val="009B791D"/>
    <w:rsid w:val="009C5427"/>
    <w:rsid w:val="009C6C5A"/>
    <w:rsid w:val="009D4225"/>
    <w:rsid w:val="009E0B30"/>
    <w:rsid w:val="009E3D11"/>
    <w:rsid w:val="009E7B8B"/>
    <w:rsid w:val="009F25FA"/>
    <w:rsid w:val="00A1065A"/>
    <w:rsid w:val="00A35501"/>
    <w:rsid w:val="00A67B98"/>
    <w:rsid w:val="00A8192F"/>
    <w:rsid w:val="00A90871"/>
    <w:rsid w:val="00AA2FD9"/>
    <w:rsid w:val="00AB4538"/>
    <w:rsid w:val="00AC4035"/>
    <w:rsid w:val="00AD4425"/>
    <w:rsid w:val="00AE3735"/>
    <w:rsid w:val="00AE4FF6"/>
    <w:rsid w:val="00AE744E"/>
    <w:rsid w:val="00AF0331"/>
    <w:rsid w:val="00AF1C1E"/>
    <w:rsid w:val="00B348C4"/>
    <w:rsid w:val="00B41C14"/>
    <w:rsid w:val="00B45A5B"/>
    <w:rsid w:val="00B46379"/>
    <w:rsid w:val="00B513AB"/>
    <w:rsid w:val="00B54BDB"/>
    <w:rsid w:val="00B64009"/>
    <w:rsid w:val="00B67636"/>
    <w:rsid w:val="00B74DE4"/>
    <w:rsid w:val="00B766B7"/>
    <w:rsid w:val="00B906A2"/>
    <w:rsid w:val="00B92C14"/>
    <w:rsid w:val="00B95DE7"/>
    <w:rsid w:val="00BB2944"/>
    <w:rsid w:val="00BD0327"/>
    <w:rsid w:val="00BD3CBD"/>
    <w:rsid w:val="00BE2109"/>
    <w:rsid w:val="00BF50A2"/>
    <w:rsid w:val="00C02E54"/>
    <w:rsid w:val="00C23F5A"/>
    <w:rsid w:val="00C33D79"/>
    <w:rsid w:val="00C3597F"/>
    <w:rsid w:val="00C41CA6"/>
    <w:rsid w:val="00C43AEB"/>
    <w:rsid w:val="00C52385"/>
    <w:rsid w:val="00C60B61"/>
    <w:rsid w:val="00C60DFB"/>
    <w:rsid w:val="00C65FA0"/>
    <w:rsid w:val="00C734E4"/>
    <w:rsid w:val="00C76F3E"/>
    <w:rsid w:val="00C81FE3"/>
    <w:rsid w:val="00C84307"/>
    <w:rsid w:val="00C904FE"/>
    <w:rsid w:val="00CB30EC"/>
    <w:rsid w:val="00CB40BF"/>
    <w:rsid w:val="00CB47CA"/>
    <w:rsid w:val="00CC171B"/>
    <w:rsid w:val="00CC4018"/>
    <w:rsid w:val="00CF7A6B"/>
    <w:rsid w:val="00D024A6"/>
    <w:rsid w:val="00D11CD9"/>
    <w:rsid w:val="00D12CF9"/>
    <w:rsid w:val="00D31299"/>
    <w:rsid w:val="00D43F7D"/>
    <w:rsid w:val="00D662D5"/>
    <w:rsid w:val="00D81D00"/>
    <w:rsid w:val="00D86FB1"/>
    <w:rsid w:val="00D91736"/>
    <w:rsid w:val="00D91B28"/>
    <w:rsid w:val="00DA6C83"/>
    <w:rsid w:val="00DB02C9"/>
    <w:rsid w:val="00DB35C3"/>
    <w:rsid w:val="00DC1AFD"/>
    <w:rsid w:val="00DC7548"/>
    <w:rsid w:val="00DD10D7"/>
    <w:rsid w:val="00DD1309"/>
    <w:rsid w:val="00DD699D"/>
    <w:rsid w:val="00DE22BB"/>
    <w:rsid w:val="00DE62B4"/>
    <w:rsid w:val="00DE65C2"/>
    <w:rsid w:val="00DE7092"/>
    <w:rsid w:val="00E003F2"/>
    <w:rsid w:val="00E167B0"/>
    <w:rsid w:val="00E1792D"/>
    <w:rsid w:val="00E20010"/>
    <w:rsid w:val="00E2032E"/>
    <w:rsid w:val="00E23E97"/>
    <w:rsid w:val="00E61EE3"/>
    <w:rsid w:val="00E63558"/>
    <w:rsid w:val="00EA26D0"/>
    <w:rsid w:val="00EA3CAA"/>
    <w:rsid w:val="00EB40C1"/>
    <w:rsid w:val="00EC2113"/>
    <w:rsid w:val="00ED1A3D"/>
    <w:rsid w:val="00EF1296"/>
    <w:rsid w:val="00F0077C"/>
    <w:rsid w:val="00F02416"/>
    <w:rsid w:val="00F1395C"/>
    <w:rsid w:val="00F161DD"/>
    <w:rsid w:val="00F17DC0"/>
    <w:rsid w:val="00F23B2D"/>
    <w:rsid w:val="00F269EC"/>
    <w:rsid w:val="00F27896"/>
    <w:rsid w:val="00F3380D"/>
    <w:rsid w:val="00F34362"/>
    <w:rsid w:val="00F35C27"/>
    <w:rsid w:val="00F41239"/>
    <w:rsid w:val="00F76CE8"/>
    <w:rsid w:val="00F841B3"/>
    <w:rsid w:val="00F9067A"/>
    <w:rsid w:val="00F963CB"/>
    <w:rsid w:val="00F96C33"/>
    <w:rsid w:val="00FC5BD6"/>
    <w:rsid w:val="00FD27B0"/>
    <w:rsid w:val="00FE557C"/>
    <w:rsid w:val="00FE56FD"/>
    <w:rsid w:val="00FF2DE0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4AD33"/>
  <w15:chartTrackingRefBased/>
  <w15:docId w15:val="{B82A714B-F553-4E88-97D3-3D91A070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644A"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3C25E7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HK-Zusatzberschrift">
    <w:name w:val="AHK-Zusatzüberschrift"/>
    <w:basedOn w:val="Normal"/>
    <w:qFormat/>
    <w:rsid w:val="005F6D8E"/>
    <w:pPr>
      <w:spacing w:line="252" w:lineRule="exact"/>
    </w:pPr>
    <w:rPr>
      <w:color w:val="1A1918"/>
      <w:spacing w:val="10"/>
      <w:sz w:val="20"/>
      <w:szCs w:val="20"/>
    </w:rPr>
  </w:style>
  <w:style w:type="paragraph" w:customStyle="1" w:styleId="AHK-Mengentext">
    <w:name w:val="AHK-Mengentext"/>
    <w:basedOn w:val="Normal"/>
    <w:qFormat/>
    <w:rsid w:val="005F6D8E"/>
    <w:pPr>
      <w:spacing w:before="100"/>
    </w:pPr>
    <w:rPr>
      <w:rFonts w:ascii="Source Sans Pro Light" w:hAnsi="Source Sans Pro Light"/>
      <w:sz w:val="20"/>
      <w:szCs w:val="20"/>
      <w:lang w:val="en-US"/>
    </w:rPr>
  </w:style>
  <w:style w:type="paragraph" w:customStyle="1" w:styleId="AHK-berschrift">
    <w:name w:val="AHK-Überschrift"/>
    <w:basedOn w:val="Normal"/>
    <w:qFormat/>
    <w:rsid w:val="005F6D8E"/>
    <w:pPr>
      <w:spacing w:after="140" w:line="560" w:lineRule="exact"/>
    </w:pPr>
    <w:rPr>
      <w:b/>
      <w:bCs/>
      <w:color w:val="1A1918"/>
      <w:sz w:val="48"/>
      <w:szCs w:val="48"/>
    </w:rPr>
  </w:style>
  <w:style w:type="paragraph" w:customStyle="1" w:styleId="AHK-Zwischenberschrift">
    <w:name w:val="AHK-Zwischenüberschrift"/>
    <w:basedOn w:val="Normal"/>
    <w:qFormat/>
    <w:rsid w:val="00DB35C3"/>
    <w:pPr>
      <w:spacing w:before="200"/>
    </w:pPr>
    <w:rPr>
      <w:rFonts w:ascii="Source Sans Pro SemiBold" w:hAnsi="Source Sans Pro SemiBold"/>
      <w:b/>
      <w:bCs/>
      <w:color w:val="3BB183"/>
      <w:spacing w:val="10"/>
    </w:rPr>
  </w:style>
  <w:style w:type="paragraph" w:customStyle="1" w:styleId="AHK-Seitenzahl">
    <w:name w:val="AHK-Seitenzahl"/>
    <w:basedOn w:val="Normal"/>
    <w:qFormat/>
    <w:rsid w:val="005F6D8E"/>
    <w:pPr>
      <w:jc w:val="right"/>
    </w:pPr>
    <w:rPr>
      <w:rFonts w:ascii="Source Sans Pro Light" w:hAnsi="Source Sans Pro Light"/>
      <w:sz w:val="20"/>
      <w:szCs w:val="20"/>
    </w:rPr>
  </w:style>
  <w:style w:type="paragraph" w:customStyle="1" w:styleId="AHK-Cover-klein-Headline">
    <w:name w:val="AHK-Cover-klein-Headline"/>
    <w:basedOn w:val="Normal"/>
    <w:qFormat/>
    <w:rsid w:val="00DB35C3"/>
    <w:rPr>
      <w:rFonts w:ascii="Source Serif Pro" w:hAnsi="Source Serif Pro"/>
      <w:color w:val="FFFFFF" w:themeColor="background1"/>
      <w:sz w:val="60"/>
      <w:szCs w:val="60"/>
    </w:rPr>
  </w:style>
  <w:style w:type="paragraph" w:customStyle="1" w:styleId="AHK-Cover-Headline">
    <w:name w:val="AHK-Cover-Headline"/>
    <w:basedOn w:val="Normal"/>
    <w:qFormat/>
    <w:rsid w:val="00DB35C3"/>
    <w:rPr>
      <w:rFonts w:ascii="Source Serif Pro" w:hAnsi="Source Serif Pro"/>
      <w:color w:val="FFFFFF" w:themeColor="background1"/>
      <w:sz w:val="80"/>
      <w:szCs w:val="80"/>
    </w:rPr>
  </w:style>
  <w:style w:type="paragraph" w:customStyle="1" w:styleId="AHK-Cover-Erklrtext">
    <w:name w:val="AHK-Cover-Erklärtext"/>
    <w:basedOn w:val="Normal"/>
    <w:qFormat/>
    <w:rsid w:val="00DB35C3"/>
    <w:rPr>
      <w:color w:val="FFFFFF" w:themeColor="background1"/>
    </w:rPr>
  </w:style>
  <w:style w:type="paragraph" w:customStyle="1" w:styleId="AHK-Tabelle-fett">
    <w:name w:val="AHK-Tabelle-fett"/>
    <w:basedOn w:val="Normal"/>
    <w:qFormat/>
    <w:rsid w:val="002622AC"/>
    <w:rPr>
      <w:rFonts w:cs="Arial"/>
      <w:b/>
      <w:bCs/>
      <w:color w:val="004576"/>
      <w:sz w:val="20"/>
      <w:szCs w:val="20"/>
    </w:rPr>
  </w:style>
  <w:style w:type="paragraph" w:customStyle="1" w:styleId="AHK-Tabelle-Aufzhlung">
    <w:name w:val="AHK-Tabelle-Aufzählung"/>
    <w:basedOn w:val="ListParagraph"/>
    <w:qFormat/>
    <w:rsid w:val="002622AC"/>
    <w:pPr>
      <w:numPr>
        <w:numId w:val="9"/>
      </w:numPr>
    </w:pPr>
    <w:rPr>
      <w:rFonts w:ascii="Source Sans Pro Light" w:hAnsi="Source Sans Pro Light" w:cs="Arial"/>
      <w:color w:val="404040" w:themeColor="background2" w:themeShade="4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622AC"/>
    <w:rPr>
      <w:color w:val="00A6DE" w:themeColor="hyperlink"/>
      <w:u w:val="single"/>
    </w:rPr>
  </w:style>
  <w:style w:type="paragraph" w:customStyle="1" w:styleId="AHK-TabelleMengentext">
    <w:name w:val="AHK-Tabelle Mengentext"/>
    <w:basedOn w:val="AHK-Mengentext"/>
    <w:qFormat/>
    <w:rsid w:val="002622AC"/>
    <w:rPr>
      <w:color w:val="1A1918"/>
    </w:rPr>
  </w:style>
  <w:style w:type="paragraph" w:customStyle="1" w:styleId="AHK-Tabelle-fett-grn">
    <w:name w:val="AHK-Tabelle-fett-grün"/>
    <w:basedOn w:val="AHK-Tabelle-fett"/>
    <w:qFormat/>
    <w:rsid w:val="008112B1"/>
    <w:rPr>
      <w:color w:val="3BB183"/>
    </w:rPr>
  </w:style>
  <w:style w:type="character" w:styleId="UnresolvedMention">
    <w:name w:val="Unresolved Mention"/>
    <w:basedOn w:val="DefaultParagraphFont"/>
    <w:uiPriority w:val="99"/>
    <w:semiHidden/>
    <w:unhideWhenUsed/>
    <w:rsid w:val="002622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1EE3"/>
    <w:rPr>
      <w:rFonts w:ascii="Times New Roman" w:hAnsi="Times New Roman" w:cs="Times New Roman"/>
    </w:rPr>
  </w:style>
  <w:style w:type="character" w:customStyle="1" w:styleId="HlavikaChar">
    <w:name w:val="Hlavička Char"/>
    <w:basedOn w:val="DefaultParagraphFont"/>
    <w:uiPriority w:val="99"/>
    <w:rsid w:val="007124A4"/>
  </w:style>
  <w:style w:type="character" w:customStyle="1" w:styleId="PtaChar">
    <w:name w:val="Päta Char"/>
    <w:basedOn w:val="DefaultParagraphFont"/>
    <w:uiPriority w:val="99"/>
    <w:rsid w:val="0071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ualpro@ahk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AHK">
      <a:dk1>
        <a:srgbClr val="000000"/>
      </a:dk1>
      <a:lt1>
        <a:srgbClr val="FFFFFF"/>
      </a:lt1>
      <a:dk2>
        <a:srgbClr val="003366"/>
      </a:dk2>
      <a:lt2>
        <a:srgbClr val="FFFFFF"/>
      </a:lt2>
      <a:accent1>
        <a:srgbClr val="DFE4EA"/>
      </a:accent1>
      <a:accent2>
        <a:srgbClr val="638F38"/>
      </a:accent2>
      <a:accent3>
        <a:srgbClr val="003366"/>
      </a:accent3>
      <a:accent4>
        <a:srgbClr val="00A6DE"/>
      </a:accent4>
      <a:accent5>
        <a:srgbClr val="DE8703"/>
      </a:accent5>
      <a:accent6>
        <a:srgbClr val="783345"/>
      </a:accent6>
      <a:hlink>
        <a:srgbClr val="00A6DE"/>
      </a:hlink>
      <a:folHlink>
        <a:srgbClr val="00336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A2BFC9F6F3F48BA5FF1C1DAC72C74" ma:contentTypeVersion="19" ma:contentTypeDescription="Umožňuje vytvoriť nový dokument." ma:contentTypeScope="" ma:versionID="8c35cf4454a17a9695537257eb594093">
  <xsd:schema xmlns:xsd="http://www.w3.org/2001/XMLSchema" xmlns:xs="http://www.w3.org/2001/XMLSchema" xmlns:p="http://schemas.microsoft.com/office/2006/metadata/properties" xmlns:ns2="c7f03d2f-9557-4caf-8e14-458f1215ed3b" xmlns:ns3="63e09563-071a-4bc1-832b-f9b4c50bcd58" targetNamespace="http://schemas.microsoft.com/office/2006/metadata/properties" ma:root="true" ma:fieldsID="221985ac6c219c647827d3d67fc8fbe4" ns2:_="" ns3:_="">
    <xsd:import namespace="c7f03d2f-9557-4caf-8e14-458f1215ed3b"/>
    <xsd:import namespace="63e09563-071a-4bc1-832b-f9b4c50bc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03d2f-9557-4caf-8e14-458f1215e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e627ea59-4fb5-4cf3-93c8-7628be95e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9563-071a-4bc1-832b-f9b4c50bc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0bde8d-4d8b-4794-8e21-e08e96317a87}" ma:internalName="TaxCatchAll" ma:showField="CatchAllData" ma:web="63e09563-071a-4bc1-832b-f9b4c50bc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f03d2f-9557-4caf-8e14-458f1215ed3b">
      <Terms xmlns="http://schemas.microsoft.com/office/infopath/2007/PartnerControls"/>
    </lcf76f155ced4ddcb4097134ff3c332f>
    <TaxCatchAll xmlns="63e09563-071a-4bc1-832b-f9b4c50bcd58" xsi:nil="true"/>
  </documentManagement>
</p:properties>
</file>

<file path=customXml/itemProps1.xml><?xml version="1.0" encoding="utf-8"?>
<ds:datastoreItem xmlns:ds="http://schemas.openxmlformats.org/officeDocument/2006/customXml" ds:itemID="{4615DEEB-9D91-4A95-92DB-2214F77D7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A4FCC-5199-4E5A-87E5-B3391A934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03d2f-9557-4caf-8e14-458f1215ed3b"/>
    <ds:schemaRef ds:uri="63e09563-071a-4bc1-832b-f9b4c50bc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FFAFBD-4992-4438-970E-2BB9D3607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9969DD-C96C-463B-84DA-0B1DEB530F42}">
  <ds:schemaRefs>
    <ds:schemaRef ds:uri="http://schemas.microsoft.com/office/2006/metadata/properties"/>
    <ds:schemaRef ds:uri="http://schemas.microsoft.com/office/infopath/2007/PartnerControls"/>
    <ds:schemaRef ds:uri="c7f03d2f-9557-4caf-8e14-458f1215ed3b"/>
    <ds:schemaRef ds:uri="63e09563-071a-4bc1-832b-f9b4c50bcd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10706</CharactersWithSpaces>
  <SharedDoc>false</SharedDoc>
  <HyperlinkBase/>
  <HLinks>
    <vt:vector size="6" baseType="variant">
      <vt:variant>
        <vt:i4>65575</vt:i4>
      </vt:variant>
      <vt:variant>
        <vt:i4>0</vt:i4>
      </vt:variant>
      <vt:variant>
        <vt:i4>0</vt:i4>
      </vt:variant>
      <vt:variant>
        <vt:i4>5</vt:i4>
      </vt:variant>
      <vt:variant>
        <vt:lpwstr>mailto:dualpro@ahk.sk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Evers, Judith</dc:creator>
  <cp:keywords/>
  <dc:description/>
  <cp:lastModifiedBy>Zuzana Šníderová</cp:lastModifiedBy>
  <cp:revision>224</cp:revision>
  <dcterms:created xsi:type="dcterms:W3CDTF">2019-11-28T15:11:00Z</dcterms:created>
  <dcterms:modified xsi:type="dcterms:W3CDTF">2026-06-29T12:16:00Z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0x01010087EA2BFC9F6F3F48BA5FF1C1DAC72C74</vt:lpwstr>
  </property>
  <property fmtid="{D5CDD505-2E9C-101B-9397-08002B2CF9AE}" pid="3" name="MediaServiceImageTags">
    <vt:lpwstr/>
  </property>
</Properties>
</file>